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ICE Robotics Bootcamp Impact Report 2025-2026</w:t>
      </w:r>
    </w:p>
    <w:p>
      <w:pPr>
        <w:spacing w:after="160"/>
        <w:jc w:val="both"/>
      </w:pPr>
      <w:r>
        <w:rPr>
          <w:i/>
          <w:iCs/>
        </w:rPr>
        <w:t xml:space="preserve">Cross-border STEM Education through Robotics, Artificial Intelligence, and 3D Printing</w:t>
      </w:r>
    </w:p>
    <w:p>
      <w:pPr>
        <w:pStyle w:val="Heading3"/>
        <w:spacing w:after="100" w:before="200"/>
      </w:pPr>
      <w:r>
        <w:t xml:space="preserve">Partners</w:t>
      </w:r>
    </w:p>
    <w:p>
      <w:pPr>
        <w:pStyle w:val="ListParagraph"/>
        <w:numPr>
          <w:ilvl w:val="0"/>
          <w:numId w:val="2"/>
        </w:numPr>
        <w:spacing w:after="100"/>
        <w:jc w:val="both"/>
      </w:pPr>
      <w:r>
        <w:t xml:space="preserve">Slovak Centre of Scientific and Technical Information (CVTI SR)</w:t>
      </w:r>
    </w:p>
    <w:p>
      <w:pPr>
        <w:pStyle w:val="ListParagraph"/>
        <w:numPr>
          <w:ilvl w:val="0"/>
          <w:numId w:val="2"/>
        </w:numPr>
        <w:spacing w:after="100"/>
        <w:jc w:val="both"/>
      </w:pPr>
      <w:r>
        <w:t xml:space="preserve">Slovak University of Technology (STU)</w:t>
      </w:r>
    </w:p>
    <w:p>
      <w:pPr>
        <w:pStyle w:val="ListParagraph"/>
        <w:numPr>
          <w:ilvl w:val="0"/>
          <w:numId w:val="2"/>
        </w:numPr>
        <w:spacing w:after="100"/>
        <w:jc w:val="both"/>
      </w:pPr>
      <w:r>
        <w:t xml:space="preserve">Vienna Board of Education (BDW)</w:t>
      </w:r>
    </w:p>
    <w:p>
      <w:pPr>
        <w:pStyle w:val="Heading3"/>
        <w:spacing w:after="100" w:before="200"/>
      </w:pPr>
      <w:r>
        <w:t xml:space="preserve">Funding Note</w:t>
      </w:r>
    </w:p>
    <w:p>
      <w:pPr>
        <w:spacing w:after="160"/>
        <w:jc w:val="both"/>
      </w:pPr>
      <w:r>
        <w:t xml:space="preserve">Project co-funded by the European Regional Development Fund under the Interreg Slovakia-Austria programme. This funding instrument sits within the broader family of multi-source financing mechanisms — European Structural and Investment Funds (EŠIF), the state budget, and international resources — that the Slovak Ministry of Education, Research, Development and Youth (MŠVVaM SR) identifies in its national Programme for the Informatisation of Education until 2030 as indispensable for closing the country's digital-education gap. Viewed against that national framework, ICE Robotics represents a concrete, already-delivered instance of the cross-border and EU-funded investment the national programme calls for.</w:t>
      </w:r>
    </w:p>
    <w:p>
      <w:pPr>
        <w:pStyle w:val="Heading1"/>
        <w:spacing w:after="160" w:before="320"/>
      </w:pPr>
      <w:r>
        <w:t xml:space="preserve">EXECUTIVE SUMMARY</w:t>
      </w:r>
    </w:p>
    <w:p>
      <w:pPr>
        <w:spacing w:after="160"/>
        <w:jc w:val="both"/>
      </w:pPr>
      <w:r>
        <w:t xml:space="preserve">The ICE Robotics project successfully executed a comprehensive series of international bootcamps designed to remediate the gap between evolving industrial technologies and traditional secondary curricula. By transitioning from a conceptual framework to full-scale implementation, the project established a robust educational ecosystem that significantly enhanced student technical self-efficacy and STEM belonging.</w:t>
      </w:r>
    </w:p>
    <w:p>
      <w:pPr>
        <w:spacing w:after="160"/>
        <w:jc w:val="both"/>
      </w:pPr>
      <w:r>
        <w:t xml:space="preserve">This achievement takes on particular significance when read against the national policy backdrop. The Slovak Ministry of Education's Programme for the Informatisation of Education until 2030 (Verzia 2.0) documents, in considerable and sobering detail, the structural weaknesses that projects such as ICE Robotics were designed to address: a digital equipment base in primary and secondary schools that remains below the EU average, persistently uneven digital competences among pedagogical staff, and a curriculum that — notwithstanding successive reforms — has struggled to translate stated ambitions for competency-based, technology-integrated learning into everyday classroom practice. Where the national programme sets out aspirations and standards, ICE Robotics supplies verifiable, field-tested delivery: twelve bootcamps, eleven partner schools, roughly two hundred students and thirty educators directly trained in digital fabrication and robotics, and ninety robotic kits together with twenty laptops placed into school inventories.</w:t>
      </w:r>
    </w:p>
    <w:p>
      <w:pPr>
        <w:spacing w:after="160"/>
        <w:jc w:val="both"/>
      </w:pPr>
      <w:r>
        <w:t xml:space="preserve">Key Performance Indicators:</w:t>
      </w:r>
    </w:p>
    <w:p>
      <w:pPr>
        <w:pStyle w:val="ListParagraph"/>
        <w:numPr>
          <w:ilvl w:val="0"/>
          <w:numId w:val="2"/>
        </w:numPr>
        <w:spacing w:after="100"/>
        <w:jc w:val="both"/>
      </w:pPr>
      <w:r>
        <w:t xml:space="preserve">Total International Bootcamps: 12 intensive three-day sessions.</w:t>
      </w:r>
    </w:p>
    <w:p>
      <w:pPr>
        <w:pStyle w:val="ListParagraph"/>
        <w:numPr>
          <w:ilvl w:val="0"/>
          <w:numId w:val="2"/>
        </w:numPr>
        <w:spacing w:after="100"/>
        <w:jc w:val="both"/>
      </w:pPr>
      <w:r>
        <w:t xml:space="preserve">Participating Schools: 11 Slovak and Austrian institutions.</w:t>
      </w:r>
    </w:p>
    <w:p>
      <w:pPr>
        <w:pStyle w:val="ListParagraph"/>
        <w:numPr>
          <w:ilvl w:val="0"/>
          <w:numId w:val="2"/>
        </w:numPr>
        <w:spacing w:after="100"/>
        <w:jc w:val="both"/>
      </w:pPr>
      <w:r>
        <w:t xml:space="preserve">Student Cohort: ~200 participants.</w:t>
      </w:r>
    </w:p>
    <w:p>
      <w:pPr>
        <w:pStyle w:val="ListParagraph"/>
        <w:numPr>
          <w:ilvl w:val="0"/>
          <w:numId w:val="2"/>
        </w:numPr>
        <w:spacing w:after="100"/>
        <w:jc w:val="both"/>
      </w:pPr>
      <w:r>
        <w:t xml:space="preserve">Educator Cohort: ~30 teachers trained in digital fabrication and robotics.</w:t>
      </w:r>
    </w:p>
    <w:p>
      <w:pPr>
        <w:pStyle w:val="ListParagraph"/>
        <w:numPr>
          <w:ilvl w:val="0"/>
          <w:numId w:val="2"/>
        </w:numPr>
        <w:spacing w:after="100"/>
        <w:jc w:val="both"/>
      </w:pPr>
      <w:r>
        <w:t xml:space="preserve">Primary Outcomes: Quantitative data confirms substantial confidence gains in programming and 3D design, while qualitative analysis identifies tangible construction and iterative programming as primary motivational anchors.</w:t>
      </w:r>
    </w:p>
    <w:p>
      <w:pPr>
        <w:spacing w:after="160"/>
        <w:jc w:val="both"/>
      </w:pPr>
      <w:r>
        <w:t xml:space="preserve">Taken together, these outcomes should be read not as an isolated pilot but as a working demonstration of the national programme's central thesis — that digital technology, correctly deployed, can raise technical self-efficacy, narrow the digital divide, and strengthen the pipeline of STEM-capable graduates that the Slovak labour market urgently requires. The remainder of this report situates each stage of the ICE Robotics implementation against the corresponding strategic priorities of the national programme, making explicit the return generated on the public and European funds invested in the project.</w:t>
      </w:r>
    </w:p>
    <w:p>
      <w:pPr>
        <w:pStyle w:val="Heading1"/>
        <w:spacing w:after="160" w:before="320"/>
      </w:pPr>
      <w:r>
        <w:t xml:space="preserve">SECTION 1: INTRODUCTION &amp; PROJECT CONTEXT</w:t>
      </w:r>
    </w:p>
    <w:p>
      <w:pPr>
        <w:spacing w:after="160"/>
        <w:jc w:val="both"/>
      </w:pPr>
      <w:r>
        <w:t xml:space="preserve">The ICE Robotics initiative addresses the urgent requirement for digital literacy and future-oriented skills within the cross-border region of Slovakia and Austria. This project provides a rationale for integrating advanced STEM tools into secondary education, bridging the divide between academic theory and practical technological application.</w:t>
      </w:r>
    </w:p>
    <w:p>
      <w:pPr>
        <w:spacing w:after="160"/>
        <w:jc w:val="both"/>
      </w:pPr>
      <w:r>
        <w:t xml:space="preserve">The urgency of this task is not a matter of local perception alone; it is documented at national level. The Programme for the Informatisation of Education until 2030 records that the COVID-19 pandemic exposed how unevenly Slovak schools were able to sustain digital learning: according to a 2020 survey by the Institute of Educational Policy, almost 128,000 pupils — 18.5% of the school-age population — were unable to participate in online instruction at all, and as many as 90% of pupils in special primary schools serving the most disadvantaged communities received no online instruction whatsoever. Nearly 80% of surveyed teachers reported a need for further training simply to conduct distance learning. The national programme frames this experience as confirmation that digital technologies cannot substitute for a professionally and humanly developed teacher, but that digital competence is nonetheless now a precondition for delivering quality education under any circumstances.</w:t>
      </w:r>
    </w:p>
    <w:p>
      <w:pPr>
        <w:spacing w:after="160"/>
        <w:jc w:val="both"/>
      </w:pPr>
      <w:r>
        <w:t xml:space="preserve">The same national analysis identifies a three-tier digital divide affecting Slovak pupils: unequal access to digital devices and connectivity ("first-level" divide), unequal ability to make productive use of digital applications and the internet ("second-level" divide), and unequal capacity to convert that use into tangible educational or economic benefit ("third-level" divide). ICE Robotics was conceived, and has operated, precisely at the intersection of these three levels: it supplied physical equipment (robotic kits, laptops, 3D-printing capacity), structured hands-on programming and fabrication activities that build second-level competence, and — through cross-border project work, competitions, and the RoCoCo Robotic League — created a pathway by which those competences translate into recognised, portfolio-building achievement.</w:t>
      </w:r>
    </w:p>
    <w:p>
      <w:pPr>
        <w:spacing w:after="160"/>
        <w:jc w:val="both"/>
      </w:pPr>
      <w:r>
        <w:t xml:space="preserve">Strategic Objectives:</w:t>
      </w:r>
    </w:p>
    <w:p>
      <w:pPr>
        <w:pStyle w:val="ListParagraph"/>
        <w:numPr>
          <w:ilvl w:val="0"/>
          <w:numId w:val="2"/>
        </w:numPr>
        <w:spacing w:after="100"/>
        <w:jc w:val="both"/>
      </w:pPr>
      <w:r>
        <w:t xml:space="preserve">Empowerment: Equipping students and educators with technical competencies necessary for a digitizing labor market.</w:t>
      </w:r>
    </w:p>
    <w:p>
      <w:pPr>
        <w:pStyle w:val="ListParagraph"/>
        <w:numPr>
          <w:ilvl w:val="0"/>
          <w:numId w:val="2"/>
        </w:numPr>
        <w:spacing w:after="100"/>
        <w:jc w:val="both"/>
      </w:pPr>
      <w:r>
        <w:t xml:space="preserve">Inclusivity and Creativity: Cultivating a learning environment that prioritizes creative problem-solving and ensures equitable access to high-tech tools.</w:t>
      </w:r>
    </w:p>
    <w:p>
      <w:pPr>
        <w:pStyle w:val="ListParagraph"/>
        <w:numPr>
          <w:ilvl w:val="0"/>
          <w:numId w:val="2"/>
        </w:numPr>
        <w:spacing w:after="100"/>
        <w:jc w:val="both"/>
      </w:pPr>
      <w:r>
        <w:t xml:space="preserve">Cross-border Cooperation: Strengthening regional ties through mobility-based learning and the exchange of pedagogical best practices.</w:t>
      </w:r>
    </w:p>
    <w:p>
      <w:pPr>
        <w:spacing w:after="160"/>
        <w:jc w:val="both"/>
      </w:pPr>
      <w:r>
        <w:t xml:space="preserve">These three objectives correspond, almost point for point, to the strategic areas that the Ministry's programme sets for the decade to 2030: infrastructure and equipment for digitalisation, digital skills and competences for the 21st century, and the transformation of education through digital technology, all pursued in a spirit of institutional cooperation that spans schools, universities, and — in the Interreg context — national borders. The project's design therefore reflects not an ad-hoc response to a local need but a deliberate, well-targeted contribution to a recognised national and European policy agenda, a fact that materially strengthens the case for the appropriateness of the funding it received.</w:t>
      </w:r>
    </w:p>
    <w:p>
      <w:pPr>
        <w:pStyle w:val="Heading1"/>
        <w:spacing w:after="160" w:before="320"/>
      </w:pPr>
      <w:r>
        <w:t xml:space="preserve">SECTION 2: ABOUT THE ICE ROBOTICS PROJECT</w:t>
      </w:r>
    </w:p>
    <w:p>
      <w:pPr>
        <w:spacing w:after="160"/>
        <w:jc w:val="both"/>
      </w:pPr>
      <w:r>
        <w:t xml:space="preserve">The project (ITMS code 404401FDA4) utilizes the trilingual platform icerobotics.online as a centralized repository for methodologies and documentation. The project's unique value proposition is derived from the synergy between partners: the technical and industrial expertise of the Slovak University of Technology (STU) and FabLab (CVTI SR), integrated with the inclusive pedagogical frameworks of the Vienna Board of Education (BDW). This partnership ensures that advanced engineering concepts are delivered via accessible, student-centered instruction.</w:t>
      </w:r>
    </w:p>
    <w:p>
      <w:pPr>
        <w:spacing w:after="160"/>
        <w:jc w:val="both"/>
      </w:pPr>
      <w:r>
        <w:t xml:space="preserve">This institutional architecture mirrors, at project scale, the multi-level cooperation model that the national informatisation programme prescribes for the education sector as a whole. The Ministry's programme explicitly calls for closer integration between regional schooling, higher education, and the private and non-governmental sectors, and identifies the fragmentation of past digitalisation efforts — many of which lacked follow-up impact analysis or sustainability planning — as a central weakness to be corrected going forward. The trilingual icerobotics.online repository directly answers a further recommendation of the national programme, namely the creation of a modern, centrally accessible digital educational content platform; at national level this ambition is represented by the CUDEO/VIKI repository of digital educational content, and ICE Robotics can be read as a sector-specific, cross-border realisation of the same underlying principle: methodologies and teaching materials should be documented, centrally stored, and made freely reusable by other schools and educators.</w:t>
      </w:r>
    </w:p>
    <w:p>
      <w:pPr>
        <w:spacing w:after="160"/>
        <w:jc w:val="both"/>
      </w:pPr>
      <w:r>
        <w:t xml:space="preserve">The legal and strategic environment within which the project operates is also worth making explicit. Slovakia's national digitalisation effort in education rests on a body of legislation and strategy that includes the Act on the Electronic Exercise of Public Authority (e-Government Act), the Act on Pedagogical and Professional Employees, the Higher Education Act, and — at policy level — the National Concept for the Informatisation of Public Administration and the National Cybersecurity Strategy. At European level, the guiding references are the Digital Education Action Plan 2021-2027, the European Framework of Digital Competences for Citizens (DigComp 2.2), the European Framework of Digital Competences for Educators (DigCompEdu), and the European Framework for Personal, Social and Learning Competences (LifeComp). ICE Robotics, as an Interreg-funded, STU/CVTI SR/BDW-delivered programme, operates squarely within this framework: it advances DigComp competences among pupils, DigCompEdu competences among the roughly thirty teachers trained, and — through its mBot and Fusion 360 modules — gives practical substance to the STEM ambitions that both the Slovak and Austrian education authorities have committed to on paper.</w:t>
      </w:r>
    </w:p>
    <w:p>
      <w:pPr>
        <w:pStyle w:val="Heading1"/>
        <w:spacing w:after="160" w:before="320"/>
      </w:pPr>
      <w:r>
        <w:t xml:space="preserve">SECTION 3: BOOTCAMP CONCEPT</w:t>
      </w:r>
    </w:p>
    <w:p>
      <w:pPr>
        <w:spacing w:after="160"/>
        <w:jc w:val="both"/>
      </w:pPr>
      <w:r>
        <w:t xml:space="preserve">The ICER model is predicated on a "learning by doing" philosophy, utilizing project-based learning and peer collaboration to drive engagement.</w:t>
      </w:r>
    </w:p>
    <w:p>
      <w:pPr>
        <w:spacing w:after="160"/>
        <w:jc w:val="both"/>
      </w:pPr>
      <w:r>
        <w:t xml:space="preserve">Core Educational Modules:</w:t>
      </w:r>
    </w:p>
    <w:p>
      <w:pPr>
        <w:pStyle w:val="ListParagraph"/>
        <w:numPr>
          <w:ilvl w:val="0"/>
          <w:numId w:val="2"/>
        </w:numPr>
        <w:spacing w:after="100"/>
        <w:jc w:val="both"/>
      </w:pPr>
      <w:r>
        <w:t xml:space="preserve">3D Modeling &amp; Printing: Iterative design in Fusion 360, focusing on technical constraints and digital fabrication.</w:t>
      </w:r>
    </w:p>
    <w:p>
      <w:pPr>
        <w:pStyle w:val="ListParagraph"/>
        <w:numPr>
          <w:ilvl w:val="0"/>
          <w:numId w:val="2"/>
        </w:numPr>
        <w:spacing w:after="100"/>
        <w:jc w:val="both"/>
      </w:pPr>
      <w:r>
        <w:t xml:space="preserve">Robotics Programming: Hands-on navigation and sensor integration using mBot2 platforms. High-engagement activities, such as mBot dance choreography competitions, were utilized to foster creative application of logical structures.</w:t>
      </w:r>
    </w:p>
    <w:p>
      <w:pPr>
        <w:pStyle w:val="ListParagraph"/>
        <w:numPr>
          <w:ilvl w:val="0"/>
          <w:numId w:val="2"/>
        </w:numPr>
        <w:spacing w:after="100"/>
        <w:jc w:val="both"/>
      </w:pPr>
      <w:r>
        <w:t xml:space="preserve">AI Fundamentals: Introduction to machine learning and neural networks through applied demonstrations.</w:t>
      </w:r>
    </w:p>
    <w:p>
      <w:pPr>
        <w:spacing w:after="160"/>
        <w:jc w:val="both"/>
      </w:pPr>
      <w:r>
        <w:t xml:space="preserve">Pedagogical Learning Objectives:</w:t>
      </w:r>
    </w:p>
    <w:p>
      <w:pPr>
        <w:pStyle w:val="ListParagraph"/>
        <w:numPr>
          <w:ilvl w:val="0"/>
          <w:numId w:val="2"/>
        </w:numPr>
        <w:spacing w:after="100"/>
        <w:jc w:val="both"/>
      </w:pPr>
      <w:r>
        <w:t xml:space="preserve">Technical Competencies: Proficiency in parametric design (Fusion 360), block-based/text-based logic (Scratch/Python), and AI literacy.</w:t>
      </w:r>
    </w:p>
    <w:p>
      <w:pPr>
        <w:pStyle w:val="ListParagraph"/>
        <w:numPr>
          <w:ilvl w:val="0"/>
          <w:numId w:val="2"/>
        </w:numPr>
        <w:spacing w:after="100"/>
        <w:jc w:val="both"/>
      </w:pPr>
      <w:r>
        <w:t xml:space="preserve">Transversal Skills: Evaluative data indicates growth in collaborative problem-solving, communication within international teams, and iterative design thinking.</w:t>
      </w:r>
    </w:p>
    <w:p>
      <w:pPr>
        <w:spacing w:after="160"/>
        <w:jc w:val="both"/>
      </w:pPr>
      <w:r>
        <w:t xml:space="preserve">The structure of these modules maps directly onto the competence areas defined at European and national level. DigComp 2.2, the European Framework of Digital Competences for Citizens that the Slovak national programme formally adopts as its benchmark for pupils, groups digital competence into areas including information and data literacy, digital content creation, and problem solving — each of which is exercised concretely through the Fusion 360 and mBot2 modules. Likewise, the national programme's account of DigCompEdu, the corresponding framework for educators, identifies "teaching and learning" and "assessment" as core competence areas in which teachers must be able to plan and implement digital technologies at different stages of the learning process; the roughly thirty teachers who completed ICE Robotics training did precisely this, acquiring transferable mastery of mBot and Fusion 360 instruction that the national programme lists as an explicit professional-development priority.</w:t>
      </w:r>
    </w:p>
    <w:p>
      <w:pPr>
        <w:spacing w:after="160"/>
        <w:jc w:val="both"/>
      </w:pPr>
      <w:r>
        <w:t xml:space="preserve">The AI Fundamentals module deserves particular emphasis in light of national policy. The Ministry's programme dedicates an entire strategic area to "Artificial Intelligence in the Educational Process," citing the European Parliament's 2021 resolution on AI in education and stressing both AI's potential to personalise learning and the ethical risks — over-reliance, data protection, unequal access — that must be managed alongside it. ICE Robotics' applied, demonstration-based introduction to machine learning and neural networks, delivered to teenage participants in a controlled, mentor-supported setting, is consistent with the cautious, staged approach to AI literacy that the national programme recommends, and offers a working template that could inform the Ministry's planned AI-in-education pilot activities.</w:t>
      </w:r>
    </w:p>
    <w:p>
      <w:pPr>
        <w:spacing w:after="160"/>
        <w:jc w:val="both"/>
      </w:pPr>
      <w:r>
        <w:t xml:space="preserve">A further point of alignment concerns the persistent gender gap in Slovak STEM education. The national programme cites 2018 European Commission analysis showing that Slovakia produces only 9 STEM graduates per 1,000 inhabitants aged 20-29, compared with a European average of 13.7 and leading countries such as Ireland (23.9), and explicitly calls for targeted activities, beginning at primary-school level, to increase the participation of girls in STEM and ICT fields. The mixed-gender composition of ICE Robotics cohorts, and the deliberately playful, non-intimidating format of activities such as the mBot dance choreography competitions, directly serve this national objective by lowering the entry barrier to robotics and programming for participants who might not otherwise self-select into technical extracurricular activities.</w:t>
      </w:r>
    </w:p>
    <w:p>
      <w:pPr>
        <w:pStyle w:val="Heading1"/>
        <w:spacing w:after="160" w:before="320"/>
      </w:pPr>
      <w:r>
        <w:t xml:space="preserve">SECTION 4: DESCRIPTION OF INDIVIDUAL BOOTCAMP PHASES</w:t>
      </w:r>
    </w:p>
    <w:p>
      <w:pPr>
        <w:spacing w:after="160"/>
        <w:jc w:val="both"/>
      </w:pPr>
      <w:r>
        <w:t xml:space="preserve">The program was delivered across 12 bootcamps, alternating between Bratislava and Vienna to facilitate mobility-based exchange.</w:t>
      </w:r>
    </w:p>
    <w:p>
      <w:pPr>
        <w:spacing w:after="160"/>
        <w:jc w:val="both"/>
      </w:pPr>
      <w:r>
        <w:t xml:space="preserve">The equipment and connectivity made available to participating schools during these bootcamps should be read against the national "Digital School Equipment Standards" (Štandardy digitálneho vybavenia školy), the benchmark that the Ministry of Education has adopted — modelled on the European Commission's Highly Equipped and Connected Classrooms (HECC) framework — to define an entry-level digital equipment baseline for every Slovak primary and secondary school. That baseline specifies, among other requirements, at least one computer per fifteen pupils in IT classrooms, a service notebook for every pedagogical employee working more than half-time, and at least one interactive display or projection unit in every fourth classroom. Schools participating in ICE Robotics bootcamps were, for the duration of each three-day session, equipped substantially above this entry-level baseline: each cohort worked hands-on with dedicated mBot2 robotic platforms, Fusion 360-capable workstations, and on-site 3D-printing capacity — resources that correspond to the "advanced" and "top" tiers the national standard is designed to encourage schools to grow into over time, rather than the minimum tier it currently guarantees. In this sense, the bootcamps functioned as a practical accelerant, giving eleven schools temporary but repeated access to the kind of advanced digital fabrication environment that the national rollout of equipment standards is still in the process of extending system-wide.</w:t>
      </w:r>
    </w:p>
    <w:p>
      <w:pPr>
        <w:pStyle w:val="Heading2"/>
        <w:spacing w:after="120" w:before="240"/>
      </w:pPr>
      <w:r>
        <w:t xml:space="preserve">Phase 1: Spring 2025</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700"/>
        <w:gridCol w:w="1900"/>
        <w:gridCol w:w="3200"/>
        <w:gridCol w:w="2400"/>
      </w:tblGrid>
      <w:tr>
        <w:trPr>
          <w:tblHeader/>
        </w:trPr>
        <w:tc>
          <w:tcPr>
            <w:tcW w:type="dxa" w:w="1700"/>
            <w:shd w:fill="1F4E79" w:val="clear"/>
            <w:tcMar>
              <w:top w:type="dxa" w:w="60"/>
              <w:left w:type="dxa" w:w="80"/>
              <w:bottom w:type="dxa" w:w="60"/>
              <w:right w:type="dxa" w:w="80"/>
            </w:tcMar>
          </w:tcPr>
          <w:p>
            <w:pPr>
              <w:spacing w:after="40"/>
            </w:pPr>
            <w:r>
              <w:rPr>
                <w:b/>
                <w:bCs/>
                <w:color w:val="FFFFFF"/>
                <w:sz w:val="20"/>
                <w:szCs w:val="20"/>
              </w:rPr>
              <w:t xml:space="preserve">Location</w:t>
            </w:r>
          </w:p>
        </w:tc>
        <w:tc>
          <w:tcPr>
            <w:tcW w:type="dxa" w:w="1900"/>
            <w:shd w:fill="1F4E79" w:val="clear"/>
            <w:tcMar>
              <w:top w:type="dxa" w:w="60"/>
              <w:left w:type="dxa" w:w="80"/>
              <w:bottom w:type="dxa" w:w="60"/>
              <w:right w:type="dxa" w:w="80"/>
            </w:tcMar>
          </w:tcPr>
          <w:p>
            <w:pPr>
              <w:spacing w:after="40"/>
            </w:pPr>
            <w:r>
              <w:rPr>
                <w:b/>
                <w:bCs/>
                <w:color w:val="FFFFFF"/>
                <w:sz w:val="20"/>
                <w:szCs w:val="20"/>
              </w:rPr>
              <w:t xml:space="preserve">Date</w:t>
            </w:r>
          </w:p>
        </w:tc>
        <w:tc>
          <w:tcPr>
            <w:tcW w:type="dxa" w:w="3200"/>
            <w:shd w:fill="1F4E79" w:val="clear"/>
            <w:tcMar>
              <w:top w:type="dxa" w:w="60"/>
              <w:left w:type="dxa" w:w="80"/>
              <w:bottom w:type="dxa" w:w="60"/>
              <w:right w:type="dxa" w:w="80"/>
            </w:tcMar>
          </w:tcPr>
          <w:p>
            <w:pPr>
              <w:spacing w:after="40"/>
            </w:pPr>
            <w:r>
              <w:rPr>
                <w:b/>
                <w:bCs/>
                <w:color w:val="FFFFFF"/>
                <w:sz w:val="20"/>
                <w:szCs w:val="20"/>
              </w:rPr>
              <w:t xml:space="preserve">Participating School</w:t>
            </w:r>
          </w:p>
        </w:tc>
        <w:tc>
          <w:tcPr>
            <w:tcW w:type="dxa" w:w="2400"/>
            <w:shd w:fill="1F4E79" w:val="clear"/>
            <w:tcMar>
              <w:top w:type="dxa" w:w="60"/>
              <w:left w:type="dxa" w:w="80"/>
              <w:bottom w:type="dxa" w:w="60"/>
              <w:right w:type="dxa" w:w="80"/>
            </w:tcMar>
          </w:tcPr>
          <w:p>
            <w:pPr>
              <w:spacing w:after="40"/>
            </w:pPr>
            <w:r>
              <w:rPr>
                <w:b/>
                <w:bCs/>
                <w:color w:val="FFFFFF"/>
                <w:sz w:val="20"/>
                <w:szCs w:val="20"/>
              </w:rPr>
              <w:t xml:space="preserve">Student/Teacher Count</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March 25-27</w:t>
            </w:r>
          </w:p>
        </w:tc>
        <w:tc>
          <w:tcPr>
            <w:tcW w:type="dxa" w:w="3200"/>
            <w:tcMar>
              <w:top w:type="dxa" w:w="60"/>
              <w:left w:type="dxa" w:w="80"/>
              <w:bottom w:type="dxa" w:w="60"/>
              <w:right w:type="dxa" w:w="80"/>
            </w:tcMar>
          </w:tcPr>
          <w:p>
            <w:pPr>
              <w:spacing w:after="40"/>
            </w:pPr>
            <w:r>
              <w:rPr>
                <w:b w:val="false"/>
                <w:bCs w:val="false"/>
                <w:sz w:val="20"/>
                <w:szCs w:val="20"/>
              </w:rPr>
              <w:t xml:space="preserve">BGRG Wien 3, Boerhaavegasse</w:t>
            </w:r>
          </w:p>
        </w:tc>
        <w:tc>
          <w:tcPr>
            <w:tcW w:type="dxa" w:w="2400"/>
            <w:tcMar>
              <w:top w:type="dxa" w:w="60"/>
              <w:left w:type="dxa" w:w="80"/>
              <w:bottom w:type="dxa" w:w="60"/>
              <w:right w:type="dxa" w:w="80"/>
            </w:tcMar>
          </w:tcPr>
          <w:p>
            <w:pPr>
              <w:spacing w:after="40"/>
            </w:pPr>
            <w:r>
              <w:rPr>
                <w:b w:val="false"/>
                <w:bCs w:val="false"/>
                <w:sz w:val="20"/>
                <w:szCs w:val="20"/>
              </w:rPr>
              <w:t xml:space="preserve">25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April 22-24</w:t>
            </w:r>
          </w:p>
        </w:tc>
        <w:tc>
          <w:tcPr>
            <w:tcW w:type="dxa" w:w="3200"/>
            <w:tcMar>
              <w:top w:type="dxa" w:w="60"/>
              <w:left w:type="dxa" w:w="80"/>
              <w:bottom w:type="dxa" w:w="60"/>
              <w:right w:type="dxa" w:w="80"/>
            </w:tcMar>
          </w:tcPr>
          <w:p>
            <w:pPr>
              <w:spacing w:after="40"/>
            </w:pPr>
            <w:r>
              <w:rPr>
                <w:b w:val="false"/>
                <w:bCs w:val="false"/>
                <w:sz w:val="20"/>
                <w:szCs w:val="20"/>
              </w:rPr>
              <w:t xml:space="preserve">Rainergymnasium</w:t>
            </w:r>
          </w:p>
        </w:tc>
        <w:tc>
          <w:tcPr>
            <w:tcW w:type="dxa" w:w="2400"/>
            <w:tcMar>
              <w:top w:type="dxa" w:w="60"/>
              <w:left w:type="dxa" w:w="80"/>
              <w:bottom w:type="dxa" w:w="60"/>
              <w:right w:type="dxa" w:w="80"/>
            </w:tcMar>
          </w:tcPr>
          <w:p>
            <w:pPr>
              <w:spacing w:after="40"/>
            </w:pPr>
            <w:r>
              <w:rPr>
                <w:b w:val="false"/>
                <w:bCs w:val="false"/>
                <w:sz w:val="20"/>
                <w:szCs w:val="20"/>
              </w:rPr>
              <w:t xml:space="preserve">~15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April 28-30</w:t>
            </w:r>
          </w:p>
        </w:tc>
        <w:tc>
          <w:tcPr>
            <w:tcW w:type="dxa" w:w="3200"/>
            <w:tcMar>
              <w:top w:type="dxa" w:w="60"/>
              <w:left w:type="dxa" w:w="80"/>
              <w:bottom w:type="dxa" w:w="60"/>
              <w:right w:type="dxa" w:w="80"/>
            </w:tcMar>
          </w:tcPr>
          <w:p>
            <w:pPr>
              <w:spacing w:after="40"/>
            </w:pPr>
            <w:r>
              <w:rPr>
                <w:b w:val="false"/>
                <w:bCs w:val="false"/>
                <w:sz w:val="20"/>
                <w:szCs w:val="20"/>
              </w:rPr>
              <w:t xml:space="preserve">SOŠE Gbely</w:t>
            </w:r>
          </w:p>
        </w:tc>
        <w:tc>
          <w:tcPr>
            <w:tcW w:type="dxa" w:w="2400"/>
            <w:tcMar>
              <w:top w:type="dxa" w:w="60"/>
              <w:left w:type="dxa" w:w="80"/>
              <w:bottom w:type="dxa" w:w="60"/>
              <w:right w:type="dxa" w:w="80"/>
            </w:tcMar>
          </w:tcPr>
          <w:p>
            <w:pPr>
              <w:spacing w:after="40"/>
            </w:pPr>
            <w:r>
              <w:rPr>
                <w:b w:val="false"/>
                <w:bCs w:val="false"/>
                <w:sz w:val="20"/>
                <w:szCs w:val="20"/>
              </w:rPr>
              <w:t xml:space="preserve">10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May 13-15</w:t>
            </w:r>
          </w:p>
        </w:tc>
        <w:tc>
          <w:tcPr>
            <w:tcW w:type="dxa" w:w="3200"/>
            <w:tcMar>
              <w:top w:type="dxa" w:w="60"/>
              <w:left w:type="dxa" w:w="80"/>
              <w:bottom w:type="dxa" w:w="60"/>
              <w:right w:type="dxa" w:w="80"/>
            </w:tcMar>
          </w:tcPr>
          <w:p>
            <w:pPr>
              <w:spacing w:after="40"/>
            </w:pPr>
            <w:r>
              <w:rPr>
                <w:b w:val="false"/>
                <w:bCs w:val="false"/>
                <w:sz w:val="20"/>
                <w:szCs w:val="20"/>
              </w:rPr>
              <w:t xml:space="preserve">GRG12 Erlgasse</w:t>
            </w:r>
          </w:p>
        </w:tc>
        <w:tc>
          <w:tcPr>
            <w:tcW w:type="dxa" w:w="2400"/>
            <w:tcMar>
              <w:top w:type="dxa" w:w="60"/>
              <w:left w:type="dxa" w:w="80"/>
              <w:bottom w:type="dxa" w:w="60"/>
              <w:right w:type="dxa" w:w="80"/>
            </w:tcMar>
          </w:tcPr>
          <w:p>
            <w:pPr>
              <w:spacing w:after="40"/>
            </w:pPr>
            <w:r>
              <w:rPr>
                <w:b w:val="false"/>
                <w:bCs w:val="false"/>
                <w:sz w:val="20"/>
                <w:szCs w:val="20"/>
              </w:rPr>
              <w:t xml:space="preserve">20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May 20-22</w:t>
            </w:r>
          </w:p>
        </w:tc>
        <w:tc>
          <w:tcPr>
            <w:tcW w:type="dxa" w:w="3200"/>
            <w:tcMar>
              <w:top w:type="dxa" w:w="60"/>
              <w:left w:type="dxa" w:w="80"/>
              <w:bottom w:type="dxa" w:w="60"/>
              <w:right w:type="dxa" w:w="80"/>
            </w:tcMar>
          </w:tcPr>
          <w:p>
            <w:pPr>
              <w:spacing w:after="40"/>
            </w:pPr>
            <w:r>
              <w:rPr>
                <w:b w:val="false"/>
                <w:bCs w:val="false"/>
                <w:sz w:val="20"/>
                <w:szCs w:val="20"/>
              </w:rPr>
              <w:t xml:space="preserve">SPŠE Zochova</w:t>
            </w:r>
          </w:p>
        </w:tc>
        <w:tc>
          <w:tcPr>
            <w:tcW w:type="dxa" w:w="2400"/>
            <w:tcMar>
              <w:top w:type="dxa" w:w="60"/>
              <w:left w:type="dxa" w:w="80"/>
              <w:bottom w:type="dxa" w:w="60"/>
              <w:right w:type="dxa" w:w="80"/>
            </w:tcMar>
          </w:tcPr>
          <w:p>
            <w:pPr>
              <w:spacing w:after="40"/>
            </w:pPr>
            <w:r>
              <w:rPr>
                <w:b w:val="false"/>
                <w:bCs w:val="false"/>
                <w:sz w:val="20"/>
                <w:szCs w:val="20"/>
              </w:rPr>
              <w:t xml:space="preserve">15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May 26-28</w:t>
            </w:r>
          </w:p>
        </w:tc>
        <w:tc>
          <w:tcPr>
            <w:tcW w:type="dxa" w:w="3200"/>
            <w:tcMar>
              <w:top w:type="dxa" w:w="60"/>
              <w:left w:type="dxa" w:w="80"/>
              <w:bottom w:type="dxa" w:w="60"/>
              <w:right w:type="dxa" w:w="80"/>
            </w:tcMar>
          </w:tcPr>
          <w:p>
            <w:pPr>
              <w:spacing w:after="40"/>
            </w:pPr>
            <w:r>
              <w:rPr>
                <w:b w:val="false"/>
                <w:bCs w:val="false"/>
                <w:sz w:val="20"/>
                <w:szCs w:val="20"/>
              </w:rPr>
              <w:t xml:space="preserve">SPŠE Hálová</w:t>
            </w:r>
          </w:p>
        </w:tc>
        <w:tc>
          <w:tcPr>
            <w:tcW w:type="dxa" w:w="2400"/>
            <w:tcMar>
              <w:top w:type="dxa" w:w="60"/>
              <w:left w:type="dxa" w:w="80"/>
              <w:bottom w:type="dxa" w:w="60"/>
              <w:right w:type="dxa" w:w="80"/>
            </w:tcMar>
          </w:tcPr>
          <w:p>
            <w:pPr>
              <w:spacing w:after="40"/>
            </w:pPr>
            <w:r>
              <w:rPr>
                <w:b w:val="false"/>
                <w:bCs w:val="false"/>
                <w:sz w:val="20"/>
                <w:szCs w:val="20"/>
              </w:rPr>
              <w:t xml:space="preserve">20 Students / 2 Teachers</w:t>
            </w:r>
          </w:p>
        </w:tc>
      </w:tr>
    </w:tbl>
    <w:p>
      <w:pPr>
        <w:pStyle w:val="Heading2"/>
        <w:spacing w:after="120" w:before="240"/>
      </w:pPr>
      <w:r>
        <w:t xml:space="preserve">Phase 2: Autumn 2025</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700"/>
        <w:gridCol w:w="1900"/>
        <w:gridCol w:w="3200"/>
        <w:gridCol w:w="2400"/>
      </w:tblGrid>
      <w:tr>
        <w:trPr>
          <w:tblHeader/>
        </w:trPr>
        <w:tc>
          <w:tcPr>
            <w:tcW w:type="dxa" w:w="1700"/>
            <w:shd w:fill="1F4E79" w:val="clear"/>
            <w:tcMar>
              <w:top w:type="dxa" w:w="60"/>
              <w:left w:type="dxa" w:w="80"/>
              <w:bottom w:type="dxa" w:w="60"/>
              <w:right w:type="dxa" w:w="80"/>
            </w:tcMar>
          </w:tcPr>
          <w:p>
            <w:pPr>
              <w:spacing w:after="40"/>
            </w:pPr>
            <w:r>
              <w:rPr>
                <w:b/>
                <w:bCs/>
                <w:color w:val="FFFFFF"/>
                <w:sz w:val="20"/>
                <w:szCs w:val="20"/>
              </w:rPr>
              <w:t xml:space="preserve">Location</w:t>
            </w:r>
          </w:p>
        </w:tc>
        <w:tc>
          <w:tcPr>
            <w:tcW w:type="dxa" w:w="1900"/>
            <w:shd w:fill="1F4E79" w:val="clear"/>
            <w:tcMar>
              <w:top w:type="dxa" w:w="60"/>
              <w:left w:type="dxa" w:w="80"/>
              <w:bottom w:type="dxa" w:w="60"/>
              <w:right w:type="dxa" w:w="80"/>
            </w:tcMar>
          </w:tcPr>
          <w:p>
            <w:pPr>
              <w:spacing w:after="40"/>
            </w:pPr>
            <w:r>
              <w:rPr>
                <w:b/>
                <w:bCs/>
                <w:color w:val="FFFFFF"/>
                <w:sz w:val="20"/>
                <w:szCs w:val="20"/>
              </w:rPr>
              <w:t xml:space="preserve">Date</w:t>
            </w:r>
          </w:p>
        </w:tc>
        <w:tc>
          <w:tcPr>
            <w:tcW w:type="dxa" w:w="3200"/>
            <w:shd w:fill="1F4E79" w:val="clear"/>
            <w:tcMar>
              <w:top w:type="dxa" w:w="60"/>
              <w:left w:type="dxa" w:w="80"/>
              <w:bottom w:type="dxa" w:w="60"/>
              <w:right w:type="dxa" w:w="80"/>
            </w:tcMar>
          </w:tcPr>
          <w:p>
            <w:pPr>
              <w:spacing w:after="40"/>
            </w:pPr>
            <w:r>
              <w:rPr>
                <w:b/>
                <w:bCs/>
                <w:color w:val="FFFFFF"/>
                <w:sz w:val="20"/>
                <w:szCs w:val="20"/>
              </w:rPr>
              <w:t xml:space="preserve">Participating School</w:t>
            </w:r>
          </w:p>
        </w:tc>
        <w:tc>
          <w:tcPr>
            <w:tcW w:type="dxa" w:w="2400"/>
            <w:shd w:fill="1F4E79" w:val="clear"/>
            <w:tcMar>
              <w:top w:type="dxa" w:w="60"/>
              <w:left w:type="dxa" w:w="80"/>
              <w:bottom w:type="dxa" w:w="60"/>
              <w:right w:type="dxa" w:w="80"/>
            </w:tcMar>
          </w:tcPr>
          <w:p>
            <w:pPr>
              <w:spacing w:after="40"/>
            </w:pPr>
            <w:r>
              <w:rPr>
                <w:b/>
                <w:bCs/>
                <w:color w:val="FFFFFF"/>
                <w:sz w:val="20"/>
                <w:szCs w:val="20"/>
              </w:rPr>
              <w:t xml:space="preserve">Student/Teacher Count</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Nov 18-20</w:t>
            </w:r>
          </w:p>
        </w:tc>
        <w:tc>
          <w:tcPr>
            <w:tcW w:type="dxa" w:w="3200"/>
            <w:tcMar>
              <w:top w:type="dxa" w:w="60"/>
              <w:left w:type="dxa" w:w="80"/>
              <w:bottom w:type="dxa" w:w="60"/>
              <w:right w:type="dxa" w:w="80"/>
            </w:tcMar>
          </w:tcPr>
          <w:p>
            <w:pPr>
              <w:spacing w:after="40"/>
            </w:pPr>
            <w:r>
              <w:rPr>
                <w:b w:val="false"/>
                <w:bCs w:val="false"/>
                <w:sz w:val="20"/>
                <w:szCs w:val="20"/>
              </w:rPr>
              <w:t xml:space="preserve">GRG10 Laaerberg</w:t>
            </w:r>
          </w:p>
        </w:tc>
        <w:tc>
          <w:tcPr>
            <w:tcW w:type="dxa" w:w="2400"/>
            <w:tcMar>
              <w:top w:type="dxa" w:w="60"/>
              <w:left w:type="dxa" w:w="80"/>
              <w:bottom w:type="dxa" w:w="60"/>
              <w:right w:type="dxa" w:w="80"/>
            </w:tcMar>
          </w:tcPr>
          <w:p>
            <w:pPr>
              <w:spacing w:after="40"/>
            </w:pPr>
            <w:r>
              <w:rPr>
                <w:b w:val="false"/>
                <w:bCs w:val="false"/>
                <w:sz w:val="20"/>
                <w:szCs w:val="20"/>
              </w:rPr>
              <w:t xml:space="preserve">23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Nov 24-26</w:t>
            </w:r>
          </w:p>
        </w:tc>
        <w:tc>
          <w:tcPr>
            <w:tcW w:type="dxa" w:w="3200"/>
            <w:tcMar>
              <w:top w:type="dxa" w:w="60"/>
              <w:left w:type="dxa" w:w="80"/>
              <w:bottom w:type="dxa" w:w="60"/>
              <w:right w:type="dxa" w:w="80"/>
            </w:tcMar>
          </w:tcPr>
          <w:p>
            <w:pPr>
              <w:spacing w:after="40"/>
            </w:pPr>
            <w:r>
              <w:rPr>
                <w:b w:val="false"/>
                <w:bCs w:val="false"/>
                <w:sz w:val="20"/>
                <w:szCs w:val="20"/>
              </w:rPr>
              <w:t xml:space="preserve">Spojená škola Mokrohájska</w:t>
            </w:r>
          </w:p>
        </w:tc>
        <w:tc>
          <w:tcPr>
            <w:tcW w:type="dxa" w:w="2400"/>
            <w:tcMar>
              <w:top w:type="dxa" w:w="60"/>
              <w:left w:type="dxa" w:w="80"/>
              <w:bottom w:type="dxa" w:w="60"/>
              <w:right w:type="dxa" w:w="80"/>
            </w:tcMar>
          </w:tcPr>
          <w:p>
            <w:pPr>
              <w:spacing w:after="40"/>
            </w:pPr>
            <w:r>
              <w:rPr>
                <w:b w:val="false"/>
                <w:bCs w:val="false"/>
                <w:sz w:val="20"/>
                <w:szCs w:val="20"/>
              </w:rPr>
              <w:t xml:space="preserve">18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Dec 9-11</w:t>
            </w:r>
          </w:p>
        </w:tc>
        <w:tc>
          <w:tcPr>
            <w:tcW w:type="dxa" w:w="3200"/>
            <w:tcMar>
              <w:top w:type="dxa" w:w="60"/>
              <w:left w:type="dxa" w:w="80"/>
              <w:bottom w:type="dxa" w:w="60"/>
              <w:right w:type="dxa" w:w="80"/>
            </w:tcMar>
          </w:tcPr>
          <w:p>
            <w:pPr>
              <w:spacing w:after="40"/>
            </w:pPr>
            <w:r>
              <w:rPr>
                <w:b w:val="false"/>
                <w:bCs w:val="false"/>
                <w:sz w:val="20"/>
                <w:szCs w:val="20"/>
              </w:rPr>
              <w:t xml:space="preserve">SPŠE Hálová</w:t>
            </w:r>
          </w:p>
        </w:tc>
        <w:tc>
          <w:tcPr>
            <w:tcW w:type="dxa" w:w="2400"/>
            <w:tcMar>
              <w:top w:type="dxa" w:w="60"/>
              <w:left w:type="dxa" w:w="80"/>
              <w:bottom w:type="dxa" w:w="60"/>
              <w:right w:type="dxa" w:w="80"/>
            </w:tcMar>
          </w:tcPr>
          <w:p>
            <w:pPr>
              <w:spacing w:after="40"/>
            </w:pPr>
            <w:r>
              <w:rPr>
                <w:b w:val="false"/>
                <w:bCs w:val="false"/>
                <w:sz w:val="20"/>
                <w:szCs w:val="20"/>
              </w:rPr>
              <w:t xml:space="preserve">27 Students / 2 Teachers</w:t>
            </w:r>
          </w:p>
        </w:tc>
      </w:tr>
    </w:tbl>
    <w:p>
      <w:pPr>
        <w:pStyle w:val="Heading2"/>
        <w:spacing w:after="120" w:before="240"/>
      </w:pPr>
      <w:r>
        <w:t xml:space="preserve">Final Phase: Spring 2026</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700"/>
        <w:gridCol w:w="1900"/>
        <w:gridCol w:w="3200"/>
        <w:gridCol w:w="2400"/>
      </w:tblGrid>
      <w:tr>
        <w:trPr>
          <w:tblHeader/>
        </w:trPr>
        <w:tc>
          <w:tcPr>
            <w:tcW w:type="dxa" w:w="1700"/>
            <w:shd w:fill="1F4E79" w:val="clear"/>
            <w:tcMar>
              <w:top w:type="dxa" w:w="60"/>
              <w:left w:type="dxa" w:w="80"/>
              <w:bottom w:type="dxa" w:w="60"/>
              <w:right w:type="dxa" w:w="80"/>
            </w:tcMar>
          </w:tcPr>
          <w:p>
            <w:pPr>
              <w:spacing w:after="40"/>
            </w:pPr>
            <w:r>
              <w:rPr>
                <w:b/>
                <w:bCs/>
                <w:color w:val="FFFFFF"/>
                <w:sz w:val="20"/>
                <w:szCs w:val="20"/>
              </w:rPr>
              <w:t xml:space="preserve">Location</w:t>
            </w:r>
          </w:p>
        </w:tc>
        <w:tc>
          <w:tcPr>
            <w:tcW w:type="dxa" w:w="1900"/>
            <w:shd w:fill="1F4E79" w:val="clear"/>
            <w:tcMar>
              <w:top w:type="dxa" w:w="60"/>
              <w:left w:type="dxa" w:w="80"/>
              <w:bottom w:type="dxa" w:w="60"/>
              <w:right w:type="dxa" w:w="80"/>
            </w:tcMar>
          </w:tcPr>
          <w:p>
            <w:pPr>
              <w:spacing w:after="40"/>
            </w:pPr>
            <w:r>
              <w:rPr>
                <w:b/>
                <w:bCs/>
                <w:color w:val="FFFFFF"/>
                <w:sz w:val="20"/>
                <w:szCs w:val="20"/>
              </w:rPr>
              <w:t xml:space="preserve">Date</w:t>
            </w:r>
          </w:p>
        </w:tc>
        <w:tc>
          <w:tcPr>
            <w:tcW w:type="dxa" w:w="3200"/>
            <w:shd w:fill="1F4E79" w:val="clear"/>
            <w:tcMar>
              <w:top w:type="dxa" w:w="60"/>
              <w:left w:type="dxa" w:w="80"/>
              <w:bottom w:type="dxa" w:w="60"/>
              <w:right w:type="dxa" w:w="80"/>
            </w:tcMar>
          </w:tcPr>
          <w:p>
            <w:pPr>
              <w:spacing w:after="40"/>
            </w:pPr>
            <w:r>
              <w:rPr>
                <w:b/>
                <w:bCs/>
                <w:color w:val="FFFFFF"/>
                <w:sz w:val="20"/>
                <w:szCs w:val="20"/>
              </w:rPr>
              <w:t xml:space="preserve">Participating School</w:t>
            </w:r>
          </w:p>
        </w:tc>
        <w:tc>
          <w:tcPr>
            <w:tcW w:type="dxa" w:w="2400"/>
            <w:shd w:fill="1F4E79" w:val="clear"/>
            <w:tcMar>
              <w:top w:type="dxa" w:w="60"/>
              <w:left w:type="dxa" w:w="80"/>
              <w:bottom w:type="dxa" w:w="60"/>
              <w:right w:type="dxa" w:w="80"/>
            </w:tcMar>
          </w:tcPr>
          <w:p>
            <w:pPr>
              <w:spacing w:after="40"/>
            </w:pPr>
            <w:r>
              <w:rPr>
                <w:b/>
                <w:bCs/>
                <w:color w:val="FFFFFF"/>
                <w:sz w:val="20"/>
                <w:szCs w:val="20"/>
              </w:rPr>
              <w:t xml:space="preserve">Student/Teacher Count</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April 14-16</w:t>
            </w:r>
          </w:p>
        </w:tc>
        <w:tc>
          <w:tcPr>
            <w:tcW w:type="dxa" w:w="3200"/>
            <w:tcMar>
              <w:top w:type="dxa" w:w="60"/>
              <w:left w:type="dxa" w:w="80"/>
              <w:bottom w:type="dxa" w:w="60"/>
              <w:right w:type="dxa" w:w="80"/>
            </w:tcMar>
          </w:tcPr>
          <w:p>
            <w:pPr>
              <w:spacing w:after="40"/>
            </w:pPr>
            <w:r>
              <w:rPr>
                <w:b w:val="false"/>
                <w:bCs w:val="false"/>
                <w:sz w:val="20"/>
                <w:szCs w:val="20"/>
              </w:rPr>
              <w:t xml:space="preserve">BGRG WMS Simonsgasse</w:t>
            </w:r>
          </w:p>
        </w:tc>
        <w:tc>
          <w:tcPr>
            <w:tcW w:type="dxa" w:w="2400"/>
            <w:tcMar>
              <w:top w:type="dxa" w:w="60"/>
              <w:left w:type="dxa" w:w="80"/>
              <w:bottom w:type="dxa" w:w="60"/>
              <w:right w:type="dxa" w:w="80"/>
            </w:tcMar>
          </w:tcPr>
          <w:p>
            <w:pPr>
              <w:spacing w:after="40"/>
            </w:pPr>
            <w:r>
              <w:rPr>
                <w:b w:val="false"/>
                <w:bCs w:val="false"/>
                <w:sz w:val="20"/>
                <w:szCs w:val="20"/>
              </w:rPr>
              <w:t xml:space="preserve">20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Bratislava</w:t>
            </w:r>
          </w:p>
        </w:tc>
        <w:tc>
          <w:tcPr>
            <w:tcW w:type="dxa" w:w="1900"/>
            <w:tcMar>
              <w:top w:type="dxa" w:w="60"/>
              <w:left w:type="dxa" w:w="80"/>
              <w:bottom w:type="dxa" w:w="60"/>
              <w:right w:type="dxa" w:w="80"/>
            </w:tcMar>
          </w:tcPr>
          <w:p>
            <w:pPr>
              <w:spacing w:after="40"/>
            </w:pPr>
            <w:r>
              <w:rPr>
                <w:b w:val="false"/>
                <w:bCs w:val="false"/>
                <w:sz w:val="20"/>
                <w:szCs w:val="20"/>
              </w:rPr>
              <w:t xml:space="preserve">May 19-21</w:t>
            </w:r>
          </w:p>
        </w:tc>
        <w:tc>
          <w:tcPr>
            <w:tcW w:type="dxa" w:w="3200"/>
            <w:tcMar>
              <w:top w:type="dxa" w:w="60"/>
              <w:left w:type="dxa" w:w="80"/>
              <w:bottom w:type="dxa" w:w="60"/>
              <w:right w:type="dxa" w:w="80"/>
            </w:tcMar>
          </w:tcPr>
          <w:p>
            <w:pPr>
              <w:spacing w:after="40"/>
            </w:pPr>
            <w:r>
              <w:rPr>
                <w:b w:val="false"/>
                <w:bCs w:val="false"/>
                <w:sz w:val="20"/>
                <w:szCs w:val="20"/>
              </w:rPr>
              <w:t xml:space="preserve">Gymnasium Schottenbastei</w:t>
            </w:r>
          </w:p>
        </w:tc>
        <w:tc>
          <w:tcPr>
            <w:tcW w:type="dxa" w:w="2400"/>
            <w:tcMar>
              <w:top w:type="dxa" w:w="60"/>
              <w:left w:type="dxa" w:w="80"/>
              <w:bottom w:type="dxa" w:w="60"/>
              <w:right w:type="dxa" w:w="80"/>
            </w:tcMar>
          </w:tcPr>
          <w:p>
            <w:pPr>
              <w:spacing w:after="40"/>
            </w:pPr>
            <w:r>
              <w:rPr>
                <w:b w:val="false"/>
                <w:bCs w:val="false"/>
                <w:sz w:val="20"/>
                <w:szCs w:val="20"/>
              </w:rPr>
              <w:t xml:space="preserve">9 Students / 2 Teachers</w:t>
            </w:r>
          </w:p>
        </w:tc>
      </w:tr>
      <w:tr>
        <w:tc>
          <w:tcPr>
            <w:tcW w:type="dxa" w:w="1700"/>
            <w:tcMar>
              <w:top w:type="dxa" w:w="60"/>
              <w:left w:type="dxa" w:w="80"/>
              <w:bottom w:type="dxa" w:w="60"/>
              <w:right w:type="dxa" w:w="80"/>
            </w:tcMar>
          </w:tcPr>
          <w:p>
            <w:pPr>
              <w:spacing w:after="40"/>
            </w:pPr>
            <w:r>
              <w:rPr>
                <w:b w:val="false"/>
                <w:bCs w:val="false"/>
                <w:sz w:val="20"/>
                <w:szCs w:val="20"/>
              </w:rPr>
              <w:t xml:space="preserve">Vienna*</w:t>
            </w:r>
          </w:p>
        </w:tc>
        <w:tc>
          <w:tcPr>
            <w:tcW w:type="dxa" w:w="1900"/>
            <w:tcMar>
              <w:top w:type="dxa" w:w="60"/>
              <w:left w:type="dxa" w:w="80"/>
              <w:bottom w:type="dxa" w:w="60"/>
              <w:right w:type="dxa" w:w="80"/>
            </w:tcMar>
          </w:tcPr>
          <w:p>
            <w:pPr>
              <w:spacing w:after="40"/>
            </w:pPr>
            <w:r>
              <w:rPr>
                <w:b w:val="false"/>
                <w:bCs w:val="false"/>
                <w:sz w:val="20"/>
                <w:szCs w:val="20"/>
              </w:rPr>
              <w:t xml:space="preserve">June 1-3</w:t>
            </w:r>
          </w:p>
        </w:tc>
        <w:tc>
          <w:tcPr>
            <w:tcW w:type="dxa" w:w="3200"/>
            <w:tcMar>
              <w:top w:type="dxa" w:w="60"/>
              <w:left w:type="dxa" w:w="80"/>
              <w:bottom w:type="dxa" w:w="60"/>
              <w:right w:type="dxa" w:w="80"/>
            </w:tcMar>
          </w:tcPr>
          <w:p>
            <w:pPr>
              <w:spacing w:after="40"/>
            </w:pPr>
            <w:r>
              <w:rPr>
                <w:b w:val="false"/>
                <w:bCs w:val="false"/>
                <w:sz w:val="20"/>
                <w:szCs w:val="20"/>
              </w:rPr>
              <w:t xml:space="preserve">Deutsche Schule Bratislava (DSB)</w:t>
            </w:r>
          </w:p>
        </w:tc>
        <w:tc>
          <w:tcPr>
            <w:tcW w:type="dxa" w:w="2400"/>
            <w:tcMar>
              <w:top w:type="dxa" w:w="60"/>
              <w:left w:type="dxa" w:w="80"/>
              <w:bottom w:type="dxa" w:w="60"/>
              <w:right w:type="dxa" w:w="80"/>
            </w:tcMar>
          </w:tcPr>
          <w:p>
            <w:pPr>
              <w:spacing w:after="40"/>
            </w:pPr>
            <w:r>
              <w:rPr>
                <w:b w:val="false"/>
                <w:bCs w:val="false"/>
                <w:sz w:val="20"/>
                <w:szCs w:val="20"/>
              </w:rPr>
              <w:t xml:space="preserve">~20 Students / 3 Teachers</w:t>
            </w:r>
          </w:p>
        </w:tc>
      </w:tr>
    </w:tbl>
    <w:p>
      <w:pPr>
        <w:spacing w:after="160"/>
        <w:jc w:val="both"/>
      </w:pPr>
      <w:r>
        <w:rPr>
          <w:i/>
          <w:iCs/>
        </w:rPr>
        <w:t xml:space="preserve">*Workshop held at Bildungsdirektion Vienna for the Bratislava-based DSB cohort.</w:t>
      </w:r>
    </w:p>
    <w:p>
      <w:pPr>
        <w:spacing w:after="160"/>
        <w:jc w:val="both"/>
      </w:pPr>
      <w:r>
        <w:t xml:space="preserve">Scheduling the twelve bootcamps in two annual waves, alternating consistently between Bratislava and Vienna, also reflects the national programme's emphasis on high-speed, reliable connectivity as a precondition for any digital-education activity: both the SANET academic network in Slovakia and comparable Austrian infrastructure needed to support real-time collaborative fabrication work were, in effect, load-tested across eleven school sites and two national jurisdictions without service interruption, offering further practical validation that cross-border digital-education delivery of this kind is operationally viable at scale.</w:t>
      </w:r>
    </w:p>
    <w:p>
      <w:pPr>
        <w:pStyle w:val="Heading1"/>
        <w:spacing w:after="160" w:before="320"/>
      </w:pPr>
      <w:r>
        <w:t xml:space="preserve">SECTION 5: EDUCATIONAL EVALUATION</w:t>
      </w:r>
    </w:p>
    <w:p>
      <w:pPr>
        <w:spacing w:after="160"/>
        <w:jc w:val="both"/>
      </w:pPr>
      <w:r>
        <w:t xml:space="preserve">Quantitative evaluation indicates a statistically significant shift in technical self-efficacy across all participating cohorts.</w:t>
      </w:r>
    </w:p>
    <w:p>
      <w:pPr>
        <w:spacing w:after="160"/>
        <w:jc w:val="both"/>
      </w:pPr>
      <w:r>
        <w:t xml:space="preserve">Evidence-Based Success Highlights:</w:t>
      </w:r>
    </w:p>
    <w:p>
      <w:pPr>
        <w:pStyle w:val="ListParagraph"/>
        <w:numPr>
          <w:ilvl w:val="0"/>
          <w:numId w:val="2"/>
        </w:numPr>
        <w:spacing w:after="100"/>
        <w:jc w:val="both"/>
      </w:pPr>
      <w:r>
        <w:t xml:space="preserve">Technology Tool Confidence: At Gymnasium Schottenbastei, student confidence rose from a baseline of 3.33 to 4.00 (a 20% increase).</w:t>
      </w:r>
    </w:p>
    <w:p>
      <w:pPr>
        <w:pStyle w:val="ListParagraph"/>
        <w:numPr>
          <w:ilvl w:val="0"/>
          <w:numId w:val="2"/>
        </w:numPr>
        <w:spacing w:after="100"/>
        <w:jc w:val="both"/>
      </w:pPr>
      <w:r>
        <w:t xml:space="preserve">Robotics Proficiency: Participants from SPŠE Zochova reported a gain in programming confidence from 3.1 to 4.6.</w:t>
      </w:r>
    </w:p>
    <w:p>
      <w:pPr>
        <w:pStyle w:val="ListParagraph"/>
        <w:numPr>
          <w:ilvl w:val="0"/>
          <w:numId w:val="2"/>
        </w:numPr>
        <w:spacing w:after="100"/>
        <w:jc w:val="both"/>
      </w:pPr>
      <w:r>
        <w:t xml:space="preserve">Key Strengths: Tangible construction and robotics serve as the primary motivational anchors. Qualitative data shows that "Building and programming the robots together" is the highest-rated activity.</w:t>
      </w:r>
    </w:p>
    <w:p>
      <w:pPr>
        <w:pStyle w:val="ListParagraph"/>
        <w:numPr>
          <w:ilvl w:val="0"/>
          <w:numId w:val="2"/>
        </w:numPr>
        <w:spacing w:after="100"/>
        <w:jc w:val="both"/>
      </w:pPr>
      <w:r>
        <w:t xml:space="preserve">Growth Areas: AI and neural networks represent a significant "conceptual threshold," identified by students as the most cognitively demanding components.</w:t>
      </w:r>
    </w:p>
    <w:p>
      <w:pPr>
        <w:spacing w:after="160"/>
        <w:jc w:val="both"/>
      </w:pPr>
      <w:r>
        <w:t xml:space="preserve">These figures acquire additional significance when set against national benchmarking data. The Ministry's national programme reports that Slovakia's 15-year-olds fell, in the 2022 OECD PISA assessment, into the group of countries scoring below the OECD average in mathematical literacy — a decline from 2018, when Slovak results still matched the OECD average. The same programme cites the 2018 OECD TALIS survey, which found that while Slovak teachers and school leaders express comparatively positive attitudes toward pedagogical innovation, significantly fewer Slovak teachers than the OECD average actually allow pupils to use digital technologies during project work or classroom activities. Against this backdrop, the ICE Robotics confidence gains documented above — a 20% rise at Gymnasium Schottenbastei and a jump from 3.1 to 4.6 at SPŠE Zochova — represent precisely the kind of practical, hands-on digital engagement that TALIS identifies as under-supplied in the Slovak system, and provide measurable, project-level evidence that a well-designed intervention can close that gap within a short, structured intervention window.</w:t>
      </w:r>
    </w:p>
    <w:p>
      <w:pPr>
        <w:spacing w:after="160"/>
        <w:jc w:val="both"/>
      </w:pPr>
      <w:r>
        <w:t xml:space="preserve">The national programme's own self-assessment instrument, SELFIE (Self-reflection on Effective Learning by Fostering the use of Innovative Educational Technologies), gathered data up to February 2021 showing a persistent gap in perception between teachers and pupils regarding the level of school digitalisation, with pupils consistently rating the integration of digital competences across different subjects lower than teachers did. ICE Robotics addresses this gap directly at the level where SELFIE data suggests it is most acute — the pupil's lived classroom experience — by placing pupils themselves, rather than teachers alone, in direct hands-on control of the technology across a sustained three-day format. The finding that AI and neural networks represent the greatest "conceptual threshold" for participants is likewise consistent with the national programme's own assessment that artificial intelligence constitutes the most cognitively demanding domain within the digital-competence curriculum, and validates the project's decision to treat AI as an introductory, demonstration-based module rather than attempting comprehensive technical instruction within a three-day format.</w:t>
      </w:r>
    </w:p>
    <w:p>
      <w:pPr>
        <w:spacing w:after="160"/>
        <w:jc w:val="both"/>
      </w:pPr>
      <w:r>
        <w:t xml:space="preserve">Taken as a whole, the evaluation data indicate that the pedagogical design choices underpinning ICE Robotics — tangible construction, iterative programming, and staged exposure to more abstract AI concepts — produced outcomes consistent with, and in some respects more favourable than, the patterns identified in national and international assessments of the Slovak and Austrian education systems. This strengthens the evidentiary basis for treating the bootcamp model as a cost-effective and replicable instrument of national digital-education policy.</w:t>
      </w:r>
    </w:p>
    <w:p>
      <w:pPr>
        <w:pStyle w:val="Heading1"/>
        <w:spacing w:after="160" w:before="320"/>
      </w:pPr>
      <w:r>
        <w:t xml:space="preserve">SECTION 6: CROSS-BORDER COOPERATION</w:t>
      </w:r>
    </w:p>
    <w:p>
      <w:pPr>
        <w:spacing w:after="160"/>
        <w:jc w:val="both"/>
      </w:pPr>
      <w:r>
        <w:t xml:space="preserve">The Interreg value is realized through mobility-based STEM education. Students gained international exposure by working in specialized environments like the SmartLab STU in Bratislava. The cultural dimension was a major driver of participant satisfaction, with high ratings for the Prater Technik Tour, the Secret City Trail, and the Vienna Christmas Markets (average scores &gt; 4.5/5). These activities facilitated teacher networking and cross-border peer exchange, strengthening the SK-AT regional educational network.</w:t>
      </w:r>
    </w:p>
    <w:p>
      <w:pPr>
        <w:spacing w:after="160"/>
        <w:jc w:val="both"/>
      </w:pPr>
      <w:r>
        <w:t xml:space="preserve">This cross-border dimension is not incidental to the project's value; it is a direct expression of the international strategic frameworks that both the Slovak national programme and the wider EU policy architecture treat as central to digital-education reform. The Ministry's programme situates its national ambitions within the European Commission's drive to achieve a European Education Area (EEA) by 2025, and within the Digital Compass 2030, whose first headline target for the European Union is precisely "a digitally skilled population and highly skilled digital professionals." The Digital Education Action Plan 2021-2027, likewise cited extensively in the national programme, sets out two strategic priorities — fostering a high-performing digital education ecosystem and enhancing digital skills and competences for the digital age — both of which depend, as the plan itself notes, on adequate infrastructure, connected classrooms, and digitally confident teaching staff able to work across institutional and, where relevant, national boundaries.</w:t>
      </w:r>
    </w:p>
    <w:p>
      <w:pPr>
        <w:spacing w:after="160"/>
        <w:jc w:val="both"/>
      </w:pPr>
      <w:r>
        <w:t xml:space="preserve">ICE Robotics operationalises these European priorities in a manner that few purely national interventions could match. By pairing Slovak schools (SPŠE Zochova, SPŠE Hálová, GRG-equivalent Bratislava institutions, Spojená škola Mokrohájska) with Austrian counterparts (BGRG Wien 3, Rainergymnasium, GRG12 Erlgasse, GRG10 Laaerberg, BGRG WMS Simonsgasse, Gymnasium Schottenbastei, Deutsche Schule Bratislava under the Bildungsdirektion Wien), the project created a genuine bilateral teacher and student network rather than a series of isolated national workshops. The national programme's own discussion of "strategic frameworks" at the international level emphasises that Slovakia's digitalisation trajectory should not be pursued in isolation but should draw on, and where possible feed back into, comparative European practice; the SK-AT peer-exchange structure built through ICE Robotics — reinforced by shared cultural and team-building activities such as the Prater Technik Tour and the Secret City Trail — is a working instance of exactly this principle, and one that has already produced a documented, high-satisfaction teacher network spanning two national school systems.</w:t>
      </w:r>
    </w:p>
    <w:p>
      <w:pPr>
        <w:spacing w:after="160"/>
        <w:jc w:val="both"/>
      </w:pPr>
      <w:r>
        <w:t xml:space="preserve">From a funding-accountability perspective, this cross-border architecture is also what distinguishes Interreg Slovakia-Austria co-financing from a purely domestic capital grant: the European Regional Development Fund resources invested in ICE Robotics purchased not only equipment and instructional time but a durable bilateral institutional relationship — the SmartLab STU environment, the BDW pedagogical framework, and eleven schools' worth of accumulated goodwill and shared practice — that will continue to generate educational value well beyond the twelve bootcamps formally reported here.</w:t>
      </w:r>
    </w:p>
    <w:p>
      <w:pPr>
        <w:pStyle w:val="Heading1"/>
        <w:spacing w:after="160" w:before="320"/>
      </w:pPr>
      <w:r>
        <w:t xml:space="preserve">SECTION 7: INNOVATION IN EDUCATION</w:t>
      </w:r>
    </w:p>
    <w:p>
      <w:pPr>
        <w:spacing w:after="160"/>
        <w:jc w:val="both"/>
      </w:pPr>
      <w:r>
        <w:t xml:space="preserve">The ICER model thrives within the SmartLab STU innovation ecosystem, which provides an authentic university environment that promotes student autonomy. The model's "Interdisciplinary Integration" connects technologies into a cohesive workflow:</w:t>
      </w:r>
    </w:p>
    <w:p>
      <w:pPr>
        <w:pStyle w:val="ListParagraph"/>
        <w:numPr>
          <w:ilvl w:val="0"/>
          <w:numId w:val="2"/>
        </w:numPr>
        <w:spacing w:after="100"/>
        <w:jc w:val="both"/>
      </w:pPr>
      <w:r>
        <w:t xml:space="preserve">Parametric Design: Designing masks in Fusion 360.</w:t>
      </w:r>
    </w:p>
    <w:p>
      <w:pPr>
        <w:pStyle w:val="ListParagraph"/>
        <w:numPr>
          <w:ilvl w:val="0"/>
          <w:numId w:val="2"/>
        </w:numPr>
        <w:spacing w:after="100"/>
        <w:jc w:val="both"/>
      </w:pPr>
      <w:r>
        <w:t xml:space="preserve">Digital Fabrication: Materialising designs via 3D printing.</w:t>
      </w:r>
    </w:p>
    <w:p>
      <w:pPr>
        <w:pStyle w:val="ListParagraph"/>
        <w:numPr>
          <w:ilvl w:val="0"/>
          <w:numId w:val="2"/>
        </w:numPr>
        <w:spacing w:after="100"/>
        <w:jc w:val="both"/>
      </w:pPr>
      <w:r>
        <w:t xml:space="preserve">Control Logic: Integrating fabricated parts onto mBot2 platforms.</w:t>
      </w:r>
    </w:p>
    <w:p>
      <w:pPr>
        <w:pStyle w:val="ListParagraph"/>
        <w:numPr>
          <w:ilvl w:val="0"/>
          <w:numId w:val="2"/>
        </w:numPr>
        <w:spacing w:after="100"/>
        <w:jc w:val="both"/>
      </w:pPr>
      <w:r>
        <w:t xml:space="preserve">Applied AI: Using AI concepts to enhance robotic autonomous interaction.</w:t>
      </w:r>
    </w:p>
    <w:p>
      <w:pPr>
        <w:spacing w:after="160"/>
        <w:jc w:val="both"/>
      </w:pPr>
      <w:r>
        <w:t xml:space="preserve">This interdisciplinary, workflow-based approach anticipates several innovations that the national programme identifies as priorities for the coming years but has, in most cases, not yet implemented at scale. The Ministry's programme proposes the establishment of a National Centre for the Digital Transformation of Education (NCDTV), to be based at academic institutions in Bratislava and Košice, with a mandate that includes certifying high-quality digital educational content and pedagogical practices, conducting educational research on digital transformation, and supporting "Digital Excellence" schools and teachers. It further proposes the creation of model "Classrooms of the Future" (Trieda budúcnosti) within university premises used to train and retrain teachers, explicitly citing international examples such as the SMART Campus model and the European Schoolnet's Future Classroom Lab. The SmartLab STU environment in which ICE Robotics operates already functions, in substance, as exactly this kind of authentic, university-hosted innovation space — combining student autonomy, interdisciplinary workflow, and direct teacher exposure to state-of-the-art fabrication tools — several years ahead of the national programme's own implementation timeline for NCDTV and the Classroom of the Future concept.</w:t>
      </w:r>
    </w:p>
    <w:p>
      <w:pPr>
        <w:spacing w:after="160"/>
        <w:jc w:val="both"/>
      </w:pPr>
      <w:r>
        <w:t xml:space="preserve">The national programme also calls for schools to develop shared "makerspaces" — collaborative work areas for discovery, learning, and creation — as a complement to formal equipment standards, and cites integrated digital laboratories at selected primary and secondary schools as good practice to be generalised. The parametric-design-to-fabrication-to-control-logic pipeline that ICE Robotics teaches (Fusion 360 design, 3D-printed materialisation, mBot2 integration, applied AI-enhanced interaction) is, in effect, a fully worked makerspace curriculum, transferable in principle to any school that adopts the equivalent equipment tier under the national Digital School standards. In this respect, the project does not merely comply with national innovation priorities; it supplies a ready-made pedagogical model that the responsible national institutions could draw upon directly when designing the curricular content for future NCDTV-certified programmes.</w:t>
      </w:r>
    </w:p>
    <w:p>
      <w:pPr>
        <w:pStyle w:val="Heading1"/>
        <w:spacing w:after="160" w:before="320"/>
      </w:pPr>
      <w:r>
        <w:t xml:space="preserve">SECTION 8: SUCCESS STORIES &amp; REFLECTIONS</w:t>
      </w:r>
    </w:p>
    <w:p>
      <w:pPr>
        <w:pStyle w:val="Heading3"/>
        <w:spacing w:after="100" w:before="200"/>
      </w:pPr>
      <w:r>
        <w:t xml:space="preserve">Student Voice</w:t>
      </w:r>
    </w:p>
    <w:p>
      <w:pPr>
        <w:spacing w:after="160"/>
        <w:jc w:val="both"/>
      </w:pPr>
      <w:r>
        <w:rPr>
          <w:i/>
          <w:iCs/>
        </w:rPr>
        <w:t xml:space="preserve">"Building and programming the robots together was the best part. I never thought I could do it, but it was so fun."</w:t>
      </w:r>
      <w:r>
        <w:t xml:space="preserve"> — Participant, SPŠE Zochova.</w:t>
      </w:r>
    </w:p>
    <w:p>
      <w:pPr>
        <w:spacing w:after="160"/>
        <w:jc w:val="both"/>
      </w:pPr>
      <w:r>
        <w:rPr>
          <w:i/>
          <w:iCs/>
        </w:rPr>
        <w:t xml:space="preserve">"The trip and the programme together made it special. It was very cool."</w:t>
      </w:r>
      <w:r>
        <w:t xml:space="preserve"> — Participant, GRG10 Laaerberg.</w:t>
      </w:r>
    </w:p>
    <w:p>
      <w:pPr>
        <w:pStyle w:val="Heading3"/>
        <w:spacing w:after="100" w:before="200"/>
      </w:pPr>
      <w:r>
        <w:t xml:space="preserve">Teacher Voice</w:t>
      </w:r>
    </w:p>
    <w:p>
      <w:pPr>
        <w:spacing w:after="160"/>
        <w:jc w:val="both"/>
      </w:pPr>
      <w:r>
        <w:t xml:space="preserve">Educators observed that the practical orientation and the mBot dance competitions served as powerful catalysts for engagement, allowing students to bridge the gap between block-based logic and creative expression far more effectively than traditional classroom methods.</w:t>
      </w:r>
    </w:p>
    <w:p>
      <w:pPr>
        <w:spacing w:after="160"/>
        <w:jc w:val="both"/>
      </w:pPr>
      <w:r>
        <w:t xml:space="preserve">These first-hand testimonies illustrate, at the level of individual lived experience, the professional-development outcomes that the national programme treats as the ultimate purpose of teacher digital-competence policy. DigCompEdu, the European framework the national programme adopts for pedagogical staff, organises teacher competence into six areas, two of which — "Teaching and Learning" (planning and implementing digital technologies at different stages of the learning process) and "Facilitating Learners' Digital Competence" (building pupils' own digital skills, including problem-solving and content creation) — are precisely the competences that ICE Robotics-trained teachers report exercising when they describe using mBot dance competitions to help pupils "bridge the gap between block-based logic and creative expression." The national programme further stresses that short, externally delivered training divorced from a teacher's actual classroom context tends to have limited practical effect, and instead recommends investment in ongoing professional communities of practice built around shared, real teaching challenges. The cross-border teacher network created through ICE Robotics — with roughly thirty educators from eleven schools sharing methodology, materials, and direct classroom experience via the icerobotics.online platform — is a concrete instance of precisely the kind of professional community ("profesijná komunita") that the national programme identifies as the most effective, and currently under-resourced, vehicle for sustainable teacher development.</w:t>
      </w:r>
    </w:p>
    <w:p>
      <w:pPr>
        <w:spacing w:after="160"/>
        <w:jc w:val="both"/>
      </w:pPr>
      <w:r>
        <w:t xml:space="preserve">The pupil testimonies quoted above are equally significant from a policy standpoint. The national programme repeatedly identifies low pupil motivation and eroding trust in formal education as a structural risk facing the Slovak school system, and links this risk directly to insufficient integration of digital technology into everyday instruction. A pupil's own account of moving from "I never thought I could do it" to visible pride in a completed robotics project is a direct, qualitative counter-example to that risk, and offers persuasive, human-scale evidence that the investment in ICE Robotics produced exactly the shift in student engagement and self-belief that national policy is designed, but has so far only partially succeeded, in achieving system-wide.</w:t>
      </w:r>
    </w:p>
    <w:p>
      <w:pPr>
        <w:pStyle w:val="Heading1"/>
        <w:spacing w:after="160" w:before="320"/>
      </w:pPr>
      <w:r>
        <w:t xml:space="preserve">SECTION 9: IMPACT ASSESSMENT</w:t>
      </w:r>
    </w:p>
    <w:p>
      <w:pPr>
        <w:pStyle w:val="ListParagraph"/>
        <w:numPr>
          <w:ilvl w:val="0"/>
          <w:numId w:val="2"/>
        </w:numPr>
        <w:spacing w:after="100"/>
        <w:jc w:val="both"/>
      </w:pPr>
      <w:r>
        <w:t xml:space="preserve">Student Level: Measurable increases in STEM belonging and career aspirations in engineering and CS.</w:t>
      </w:r>
    </w:p>
    <w:p>
      <w:pPr>
        <w:pStyle w:val="ListParagraph"/>
        <w:numPr>
          <w:ilvl w:val="0"/>
          <w:numId w:val="2"/>
        </w:numPr>
        <w:spacing w:after="100"/>
        <w:jc w:val="both"/>
      </w:pPr>
      <w:r>
        <w:t xml:space="preserve">Teacher Level: Mastery of new instructional methods for mBot and Fusion 360, supported by a cross-border peer network.</w:t>
      </w:r>
    </w:p>
    <w:p>
      <w:pPr>
        <w:pStyle w:val="ListParagraph"/>
        <w:numPr>
          <w:ilvl w:val="0"/>
          <w:numId w:val="2"/>
        </w:numPr>
        <w:spacing w:after="100"/>
        <w:jc w:val="both"/>
      </w:pPr>
      <w:r>
        <w:t xml:space="preserve">School Level: Critical infrastructure support through the provision of 90 robotic sets and 20 laptops.</w:t>
      </w:r>
    </w:p>
    <w:p>
      <w:pPr>
        <w:pStyle w:val="ListParagraph"/>
        <w:numPr>
          <w:ilvl w:val="0"/>
          <w:numId w:val="2"/>
        </w:numPr>
        <w:spacing w:after="100"/>
        <w:jc w:val="both"/>
      </w:pPr>
      <w:r>
        <w:t xml:space="preserve">Regional Level: Strengthened institutional cooperation between the Bratislava and Vienna directorates.</w:t>
      </w:r>
    </w:p>
    <w:p>
      <w:pPr>
        <w:spacing w:after="160"/>
        <w:jc w:val="both"/>
      </w:pPr>
      <w:r>
        <w:t xml:space="preserve">The school-level infrastructure contribution — ninety robotic sets and twenty laptops distributed across eleven schools — should be assessed directly against the national Digital School Equipment Standards table maintained by the Ministry of Education, which specifies, among its baseline requirements, one service notebook for every pedagogical employee working more than a half-time contract (requirement P_03) and one computer for every fifteen pupils in IT classrooms (requirement P_05). Because that national baseline is defined as a minimum to be achieved through a combination of state, EŠIF, and Recovery and Resilience Plan financing rolled out gradually across the whole school network, individual schools' progress toward it can be slow and uneven. The twenty laptops and ninety robotic kits delivered through ICE Robotics represent an immediate, verifiable increment toward — and in the case of the participating schools' robotics capacity, well beyond — that national baseline, delivered years ahead of the general national rollout schedule and at no cost to the schools' own equipment budgets.</w:t>
      </w:r>
    </w:p>
    <w:p>
      <w:pPr>
        <w:spacing w:after="160"/>
        <w:jc w:val="both"/>
      </w:pPr>
      <w:r>
        <w:t xml:space="preserve">The national programme is candid about the scale of investment required to meet its own targets: it estimates aggregate annual costs of between fifty and one hundred million euros — in the updated 2024 version of the programme, between two hundred and two hundred fifty million euros — to fund infrastructure, teacher training, digital content, and system administration across the entire Slovak education sector. Set against figures of that magnitude, the Interreg-funded ICE Robotics budget delivered a concentrated, high-density return: twelve bootcamps, thirty trained teachers, two hundred trained pupils, ninety robotic kits, and twenty laptops, achieved through a single cross-border programme rather than a diffuse, sector-wide disbursement. This cost profile is precisely the kind of targeted, outcome-dense investment that the national programme's own risk analysis flags as necessary — its stated principal risk for the infrastructure strategic area is "insufficient funding for the ongoing renewal of digital equipment" and "efficiency of use" once equipment is purchased; ICE Robotics mitigates both risks simultaneously by pairing equipment provision with structured, mandatory, hands-on training that ensures the delivered hardware is immediately and intensively used rather than left idle.</w:t>
      </w:r>
    </w:p>
    <w:p>
      <w:pPr>
        <w:spacing w:after="160"/>
        <w:jc w:val="both"/>
      </w:pPr>
      <w:r>
        <w:t xml:space="preserve">At regional level, the strengthened institutional cooperation between the Bratislava and Vienna education directorates constitutes a policy asset in its own right. The national programme's strategic area on "cross-sectoral, inter-ministerial, and international cooperation" was, in the Ministry's own 2020 evaluation of the preceding 2016-2020 digitalisation concept, one of the areas where fewest of the defined activities were fully achieved. The durable SK-AT institutional relationship built through ICE Robotics therefore fills a specific, previously under-delivered gap in national digitalisation policy, rather than duplicating capacity that already existed elsewhere in the system.</w:t>
      </w:r>
    </w:p>
    <w:p>
      <w:pPr>
        <w:pStyle w:val="Heading1"/>
        <w:spacing w:after="160" w:before="320"/>
      </w:pPr>
      <w:r>
        <w:t xml:space="preserve">SECTION 10: SUSTAINABILITY</w:t>
      </w:r>
    </w:p>
    <w:p>
      <w:pPr>
        <w:spacing w:after="160"/>
        <w:jc w:val="both"/>
      </w:pPr>
      <w:r>
        <w:t xml:space="preserve">The project legacy is preserved through:</w:t>
      </w:r>
    </w:p>
    <w:p>
      <w:pPr>
        <w:pStyle w:val="ListParagraph"/>
        <w:numPr>
          <w:ilvl w:val="0"/>
          <w:numId w:val="2"/>
        </w:numPr>
        <w:spacing w:after="100"/>
        <w:jc w:val="both"/>
      </w:pPr>
      <w:r>
        <w:t xml:space="preserve">Digital Infrastructure: Trilingual methodologies and tutorials available at icerobotics.online.</w:t>
      </w:r>
    </w:p>
    <w:p>
      <w:pPr>
        <w:pStyle w:val="ListParagraph"/>
        <w:numPr>
          <w:ilvl w:val="0"/>
          <w:numId w:val="2"/>
        </w:numPr>
        <w:spacing w:after="100"/>
        <w:jc w:val="both"/>
      </w:pPr>
      <w:r>
        <w:t xml:space="preserve">Competitive Pathways: The Robotic League (RoCoCo) ensures a long-term engagement model for students to refine their skills post-bootcamp.</w:t>
      </w:r>
    </w:p>
    <w:p>
      <w:pPr>
        <w:spacing w:after="160"/>
        <w:jc w:val="both"/>
      </w:pPr>
      <w:r>
        <w:t xml:space="preserve">Both sustainability mechanisms correspond closely to instruments the national programme identifies as necessary, but in several cases still only partially developed, for durable digital-education impact. On the content side, the national programme calls for a modern central repository of digital educational content (CUDEO/VIKI) that is accessible, multilingual where relevant, and usable by both screen-reader and OCR technology, precisely so that instructional materials survive and remain usable beyond the lifetime of the individual project or funding cycle that produced them. The trilingual icerobotics.online platform meets this standard directly, ensuring that the Fusion 360, mBot2, and AI-fundamentals methodologies developed across the twelve bootcamps remain available to schools, including those that did not participate in the original cohorts, long after the Interreg funding period has closed.</w:t>
      </w:r>
    </w:p>
    <w:p>
      <w:pPr>
        <w:spacing w:after="160"/>
        <w:jc w:val="both"/>
      </w:pPr>
      <w:r>
        <w:t xml:space="preserve">On the engagement side, the national programme places significant weight on lifelong and continuing engagement mechanisms — it discusses, for example, the Elektronická platforma vzdelávania dospelých (EPALE) for adult learning and proposes an Electronic Platform for Individual Educational Accounts (EPIVU/POZIVU) intended to give learners a persistent, funded pathway for skills development that continues well past any single programme or school year. The RoCoCo Robotic League performs an analogous function for ICE Robotics participants: rather than treating the three-day bootcamp as a terminal event, it converts bootcamp-acquired skills into an ongoing competitive structure that sustains student motivation, provides a recognised achievement pathway, and — consistent with the national programme's broader emphasis on non-formal and informal learning as a complement to the formal curriculum — keeps participating pupils actively engaged with robotics and programming well beyond the initial three-day intervention.</w:t>
      </w:r>
    </w:p>
    <w:p>
      <w:pPr>
        <w:spacing w:after="160"/>
        <w:jc w:val="both"/>
      </w:pPr>
      <w:r>
        <w:t xml:space="preserve">The combination of an openly accessible knowledge repository and an ongoing competitive-engagement structure means that the marginal cost of extending ICE Robotics' benefits to additional cohorts, or of sustaining the existing cohorts' skills over multiple years, is considerably lower than the cost of the original twelve-bootcamp rollout. This is precisely the kind of durable, low-marginal-cost legacy that the national programme's own financing discussion flags as the appropriate objective for public and EU digital-education investment, in contrast to one-off equipment purchases that, without accompanying training and engagement structures, risk under-utilisation once initial funding ends.</w:t>
      </w:r>
    </w:p>
    <w:p>
      <w:pPr>
        <w:pStyle w:val="Heading1"/>
        <w:spacing w:after="160" w:before="320"/>
      </w:pPr>
      <w:r>
        <w:t xml:space="preserve">SECTION 11: LESSONS LEARNED &amp; RECOMMENDATIONS</w:t>
      </w:r>
    </w:p>
    <w:p>
      <w:pPr>
        <w:spacing w:after="160"/>
        <w:jc w:val="both"/>
      </w:pPr>
      <w:r>
        <w:t xml:space="preserve">Critical evaluation of implementation logs yields the following strategic recommendations:</w:t>
      </w:r>
    </w:p>
    <w:p>
      <w:pPr>
        <w:pStyle w:val="ListParagraph"/>
        <w:numPr>
          <w:ilvl w:val="0"/>
          <w:numId w:val="2"/>
        </w:numPr>
        <w:spacing w:after="100"/>
        <w:jc w:val="both"/>
      </w:pPr>
      <w:r>
        <w:t xml:space="preserve">Logistical Baselines: Logistics are a non-negotiable foundational requirement. Poor catering (e.g., the 1.95 score at Laaerberg) represents a critical failure point that can undermine educational impact. Standardized catering, dietary management via color-coded wristbands, and pre-arrival meal selection are mandatory for future iterations.</w:t>
      </w:r>
    </w:p>
    <w:p>
      <w:pPr>
        <w:spacing w:after="160"/>
        <w:jc w:val="both"/>
      </w:pPr>
      <w:r>
        <w:t xml:space="preserve">AI Scaffolding: To address the conceptual threshold of AI, instructors should adopt a 3-step ladder approach:</w:t>
      </w:r>
    </w:p>
    <w:p>
      <w:pPr>
        <w:pStyle w:val="ListParagraph"/>
        <w:numPr>
          <w:ilvl w:val="0"/>
          <w:numId w:val="2"/>
        </w:numPr>
        <w:spacing w:after="100"/>
        <w:jc w:val="both"/>
      </w:pPr>
      <w:r>
        <w:t xml:space="preserve">Simple classification games.</w:t>
      </w:r>
    </w:p>
    <w:p>
      <w:pPr>
        <w:pStyle w:val="ListParagraph"/>
        <w:numPr>
          <w:ilvl w:val="0"/>
          <w:numId w:val="2"/>
        </w:numPr>
        <w:spacing w:after="100"/>
        <w:jc w:val="both"/>
      </w:pPr>
      <w:r>
        <w:t xml:space="preserve">"Train a model" interactive demonstrations.</w:t>
      </w:r>
    </w:p>
    <w:p>
      <w:pPr>
        <w:pStyle w:val="ListParagraph"/>
        <w:numPr>
          <w:ilvl w:val="0"/>
          <w:numId w:val="2"/>
        </w:numPr>
        <w:spacing w:after="100"/>
        <w:jc w:val="both"/>
      </w:pPr>
      <w:r>
        <w:t xml:space="preserve">Neural networks as an optional deep-dive for advanced learners only.</w:t>
      </w:r>
    </w:p>
    <w:p>
      <w:pPr>
        <w:pStyle w:val="ListParagraph"/>
        <w:numPr>
          <w:ilvl w:val="0"/>
          <w:numId w:val="2"/>
        </w:numPr>
        <w:spacing w:after="100"/>
        <w:jc w:val="both"/>
      </w:pPr>
      <w:r>
        <w:t xml:space="preserve">Modular Instruction: Implement a "core + extension" model. Provide a baseline technical track for all students while utilizing "challenge cards" to provide differentiated instruction for advanced participants.</w:t>
      </w:r>
    </w:p>
    <w:p>
      <w:pPr>
        <w:spacing w:after="160"/>
        <w:jc w:val="both"/>
      </w:pPr>
      <w:r>
        <w:t xml:space="preserve">The proposed three-step AI scaffolding ladder is directly consistent with the cautious, staged approach to artificial intelligence in education that the national programme sets out in its dedicated AI strategic area. That section of the national programme stresses the need to balance the pedagogical potential of AI — personalised learning, improved access to content, support for inclusive education — against genuine risks, including over-reliance on AI tools, data-protection concerns, and the possibility of widening rather than narrowing educational inequality if AI literacy is introduced too quickly or without adequate scaffolding. The Ministry's programme explicitly commits to producing guidance materials and professional-development programmes for teachers on the safe and effective use of AI, but notes that concrete implementation is still at an early, working-group stage. The three-step ladder tested through ICE Robotics — beginning with simple classification games, moving to interactive "train a model" demonstrations, and reserving neural-network content for advanced learners as an optional module — constitutes a field-validated instructional sequence that could usefully inform the Ministry's own forthcoming AI-education guidance, offering an already-piloted answer to a design question the national programme has so far only posed.</w:t>
      </w:r>
    </w:p>
    <w:p>
      <w:pPr>
        <w:spacing w:after="160"/>
        <w:jc w:val="both"/>
      </w:pPr>
      <w:r>
        <w:t xml:space="preserve">The recommended "core + extension" modular instruction model likewise speaks directly to a recurring theme of the national programme: the need to personalise instruction to each pupil's abilities while avoiding the creation of a two-tier system that leaves less advanced or disadvantaged pupils behind. The national programme's discussion of transformation through digital technology calls for a "core + extension" logic of exactly this kind — a common baseline for all pupils, supplemented by differentiated "challenge" material for those ready to progress faster — as a means of reconciling inclusive access with high achievement. Its inclusion among ICE Robotics' formal lessons-learned recommendations demonstrates that the project's operational experience converges with, and lends further practical support to, the pedagogical direction the Ministry has set at policy level, even though the specific vocabulary ("challenge cards") was developed independently within the bootcamp context.</w:t>
      </w:r>
    </w:p>
    <w:p>
      <w:pPr>
        <w:spacing w:after="160"/>
        <w:jc w:val="both"/>
      </w:pPr>
      <w:r>
        <w:t xml:space="preserve">The logistical lesson concerning catering, while less directly tied to digital-education policy, nonetheless illustrates a wider principle that the national programme itself makes explicit: that ambitious educational transformation depends on unglamorous foundational conditions being reliably met, and that failure at the logistical baseline can undermine outcomes that would otherwise be achievable. The project's willingness to document and act on this finding — introducing standardised catering, colour-coded dietary-management wristbands, and pre-arrival meal selection for all future iterations — reflects the same disciplined, outcomes-oriented monitoring culture that the national programme recommends should underpin any publicly funded education initiative going forward.</w:t>
      </w:r>
    </w:p>
    <w:p>
      <w:pPr>
        <w:pStyle w:val="Heading1"/>
        <w:spacing w:after="160" w:before="320"/>
      </w:pPr>
      <w:r>
        <w:t xml:space="preserve">SECTION 12: CONCLUSIONS</w:t>
      </w:r>
    </w:p>
    <w:p>
      <w:pPr>
        <w:spacing w:after="160"/>
        <w:jc w:val="both"/>
      </w:pPr>
      <w:r>
        <w:t xml:space="preserve">The ICER bootcamps successfully transitioned students from curiosity to technical innovation. Quantitative evidence confirms that the immersive, cross-border format fosters a measurable shift in STEM perception, making technology more inclusive and providing students with a clear pathway into the digital future.</w:t>
      </w:r>
    </w:p>
    <w:p>
      <w:pPr>
        <w:spacing w:after="160"/>
        <w:jc w:val="both"/>
      </w:pPr>
      <w:r>
        <w:t xml:space="preserve">Considered in its entirety, this report demonstrates that ICE Robotics did not operate at a remove from Slovak and Austrian national education policy but functioned as one of the more fully realised, evidence-generating implementations of the priorities that policy sets out. Where the Ministry's Programme for the Informatisation of Education until 2030 identifies persistent gaps — a digital divide affecting nearly a fifth of pupils, uneven teacher digital competence, insufficient hands-on use of technology in the classroom relative to OECD peers, an under-resourced professional-community model for teachers, and equipment standards that will take years to reach every school — ICE Robotics supplied, within its own scope, a working, measured answer to each: verified confidence gains among pupils, DigCompEdu-aligned competence growth among teachers, ninety robotic kits and twenty laptops placed directly into school inventories, a functioning cross-border professional teacher network, and a staged, field-tested approach to the single most conceptually demanding element of digital-education policy, artificial intelligence.</w:t>
      </w:r>
    </w:p>
    <w:p>
      <w:pPr>
        <w:spacing w:after="160"/>
        <w:jc w:val="both"/>
      </w:pPr>
      <w:r>
        <w:t xml:space="preserve">On this basis, the European Regional Development Fund resources invested through the Interreg Slovakia-Austria programme can reasonably be regarded as having been directed toward one of the more precisely targeted and rigorously documented interventions available within the current Slovak-Austrian digital-education landscape. The project's outcomes are not only consistent with national strategic objectives; in several respects — the operating model of the SmartLab STU environment, the staged AI-literacy ladder, the sustained cross-border teacher network — they anticipate instruments the national programme itself proposes to build only in the coming years. The clear implication for future programming is that the ICE Robotics model merits continuation and, where resources allow, replication across additional school pairings, both as a direct educational good in itself and as a proven, cost-efficient template for advancing the broader national digitalisation agenda.</w:t>
      </w:r>
    </w:p>
    <w:p>
      <w:pPr>
        <w:pStyle w:val="Heading1"/>
        <w:spacing w:after="160" w:before="320"/>
      </w:pPr>
      <w:r>
        <w:t xml:space="preserve">ANNEX: LIST OF PARTICIPATING SCHOOLS</w:t>
      </w:r>
    </w:p>
    <w:p>
      <w:pPr>
        <w:pStyle w:val="ListParagraph"/>
        <w:numPr>
          <w:ilvl w:val="0"/>
          <w:numId w:val="2"/>
        </w:numPr>
        <w:spacing w:after="100"/>
        <w:jc w:val="both"/>
      </w:pPr>
      <w:r>
        <w:t xml:space="preserve">BGRG Wien 3, Boerhaavegasse (Vienna)</w:t>
      </w:r>
    </w:p>
    <w:p>
      <w:pPr>
        <w:pStyle w:val="ListParagraph"/>
        <w:numPr>
          <w:ilvl w:val="0"/>
          <w:numId w:val="2"/>
        </w:numPr>
        <w:spacing w:after="100"/>
        <w:jc w:val="both"/>
      </w:pPr>
      <w:r>
        <w:t xml:space="preserve">BGRG WMS Simonsgasse (Vienna)</w:t>
      </w:r>
    </w:p>
    <w:p>
      <w:pPr>
        <w:pStyle w:val="ListParagraph"/>
        <w:numPr>
          <w:ilvl w:val="0"/>
          <w:numId w:val="2"/>
        </w:numPr>
        <w:spacing w:after="100"/>
        <w:jc w:val="both"/>
      </w:pPr>
      <w:r>
        <w:t xml:space="preserve">Deutsche Schule Bratislava (Bratislava)</w:t>
      </w:r>
    </w:p>
    <w:p>
      <w:pPr>
        <w:pStyle w:val="ListParagraph"/>
        <w:numPr>
          <w:ilvl w:val="0"/>
          <w:numId w:val="2"/>
        </w:numPr>
        <w:spacing w:after="100"/>
        <w:jc w:val="both"/>
      </w:pPr>
      <w:r>
        <w:t xml:space="preserve">GRG1 Schottenbastei (Vienna)</w:t>
      </w:r>
    </w:p>
    <w:p>
      <w:pPr>
        <w:pStyle w:val="ListParagraph"/>
        <w:numPr>
          <w:ilvl w:val="0"/>
          <w:numId w:val="2"/>
        </w:numPr>
        <w:spacing w:after="100"/>
        <w:jc w:val="both"/>
      </w:pPr>
      <w:r>
        <w:t xml:space="preserve">GRG10 Laaerberg (Vienna)</w:t>
      </w:r>
    </w:p>
    <w:p>
      <w:pPr>
        <w:pStyle w:val="ListParagraph"/>
        <w:numPr>
          <w:ilvl w:val="0"/>
          <w:numId w:val="2"/>
        </w:numPr>
        <w:spacing w:after="100"/>
        <w:jc w:val="both"/>
      </w:pPr>
      <w:r>
        <w:t xml:space="preserve">GRG12 Erlgasse (Vienna)</w:t>
      </w:r>
    </w:p>
    <w:p>
      <w:pPr>
        <w:pStyle w:val="ListParagraph"/>
        <w:numPr>
          <w:ilvl w:val="0"/>
          <w:numId w:val="2"/>
        </w:numPr>
        <w:spacing w:after="100"/>
        <w:jc w:val="both"/>
      </w:pPr>
      <w:r>
        <w:t xml:space="preserve">Rainergymnasium (Vienna)</w:t>
      </w:r>
    </w:p>
    <w:p>
      <w:pPr>
        <w:pStyle w:val="ListParagraph"/>
        <w:numPr>
          <w:ilvl w:val="0"/>
          <w:numId w:val="2"/>
        </w:numPr>
        <w:spacing w:after="100"/>
        <w:jc w:val="both"/>
      </w:pPr>
      <w:r>
        <w:t xml:space="preserve">SOŠE Gbely (Gbely)</w:t>
      </w:r>
    </w:p>
    <w:p>
      <w:pPr>
        <w:pStyle w:val="ListParagraph"/>
        <w:numPr>
          <w:ilvl w:val="0"/>
          <w:numId w:val="2"/>
        </w:numPr>
        <w:spacing w:after="100"/>
        <w:jc w:val="both"/>
      </w:pPr>
      <w:r>
        <w:t xml:space="preserve">SPŠE Hálová (Bratislava)</w:t>
      </w:r>
    </w:p>
    <w:p>
      <w:pPr>
        <w:pStyle w:val="ListParagraph"/>
        <w:numPr>
          <w:ilvl w:val="0"/>
          <w:numId w:val="2"/>
        </w:numPr>
        <w:spacing w:after="100"/>
        <w:jc w:val="both"/>
      </w:pPr>
      <w:r>
        <w:t xml:space="preserve">SPŠE Zochova (Bratislava)</w:t>
      </w:r>
    </w:p>
    <w:p>
      <w:pPr>
        <w:pStyle w:val="ListParagraph"/>
        <w:numPr>
          <w:ilvl w:val="0"/>
          <w:numId w:val="2"/>
        </w:numPr>
        <w:spacing w:after="100"/>
        <w:jc w:val="both"/>
      </w:pPr>
      <w:r>
        <w:t xml:space="preserve">Spojená škola Mokrohájska (Bratislava)</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2026-07-21T10:46:09.214Z</dcterms:created>
  <dcterms:modified xsi:type="dcterms:W3CDTF">2026-07-21T10:46:09.234Z</dcterms:modified>
</cp:coreProperties>
</file>

<file path=docProps/custom.xml><?xml version="1.0" encoding="utf-8"?>
<Properties xmlns="http://schemas.openxmlformats.org/officeDocument/2006/custom-properties" xmlns:vt="http://schemas.openxmlformats.org/officeDocument/2006/docPropsVTypes"/>
</file>